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5B" w:rsidRDefault="00937AE5">
      <w:pPr>
        <w:rPr>
          <w:rFonts w:cs="Arial"/>
          <w:color w:val="000000"/>
          <w:sz w:val="16"/>
          <w:szCs w:val="16"/>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-1071245</wp:posOffset>
            </wp:positionH>
            <wp:positionV relativeFrom="paragraph">
              <wp:posOffset>-748665</wp:posOffset>
            </wp:positionV>
            <wp:extent cx="7933690" cy="2045970"/>
            <wp:effectExtent l="0" t="0" r="0" b="0"/>
            <wp:wrapNone/>
            <wp:docPr id="5" name="Bild 5" descr="Demokratie_zusammen_Reihe_spr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mokratie_zusammen_Reihe_spru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3690" cy="204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EF8" w:rsidRDefault="00D41EF8">
      <w:pPr>
        <w:rPr>
          <w:rFonts w:cs="Arial"/>
          <w:color w:val="000000"/>
          <w:sz w:val="16"/>
          <w:szCs w:val="16"/>
        </w:rPr>
      </w:pPr>
    </w:p>
    <w:p w:rsidR="00D41EF8" w:rsidRDefault="00D41EF8">
      <w:pPr>
        <w:rPr>
          <w:noProof/>
        </w:rPr>
      </w:pPr>
    </w:p>
    <w:p w:rsidR="00E8305B" w:rsidRDefault="00E8305B">
      <w:pPr>
        <w:rPr>
          <w:noProof/>
        </w:rPr>
      </w:pPr>
    </w:p>
    <w:p w:rsidR="0093076D" w:rsidRDefault="0093076D">
      <w:pPr>
        <w:rPr>
          <w:b/>
          <w:u w:val="single"/>
        </w:rPr>
      </w:pPr>
    </w:p>
    <w:p w:rsidR="0093076D" w:rsidRDefault="0093076D">
      <w:pPr>
        <w:rPr>
          <w:b/>
          <w:u w:val="single"/>
        </w:rPr>
      </w:pPr>
    </w:p>
    <w:p w:rsidR="00D41EF8" w:rsidRDefault="00D41EF8">
      <w:pPr>
        <w:rPr>
          <w:b/>
          <w:sz w:val="24"/>
          <w:szCs w:val="24"/>
          <w:u w:val="single"/>
        </w:rPr>
      </w:pPr>
    </w:p>
    <w:p w:rsidR="00D41EF8" w:rsidRDefault="00D41EF8">
      <w:pPr>
        <w:rPr>
          <w:b/>
          <w:sz w:val="24"/>
          <w:szCs w:val="24"/>
          <w:u w:val="single"/>
        </w:rPr>
      </w:pPr>
    </w:p>
    <w:p w:rsidR="00D41EF8" w:rsidRDefault="00D41EF8">
      <w:pPr>
        <w:rPr>
          <w:b/>
          <w:sz w:val="24"/>
          <w:szCs w:val="24"/>
          <w:u w:val="single"/>
        </w:rPr>
      </w:pPr>
    </w:p>
    <w:p w:rsidR="00D41EF8" w:rsidRDefault="00D41EF8">
      <w:pPr>
        <w:rPr>
          <w:b/>
          <w:sz w:val="24"/>
          <w:szCs w:val="24"/>
          <w:u w:val="single"/>
        </w:rPr>
      </w:pPr>
    </w:p>
    <w:p w:rsidR="00A1024B" w:rsidRPr="00E8305B" w:rsidRDefault="009C160A">
      <w:pPr>
        <w:rPr>
          <w:b/>
          <w:sz w:val="24"/>
          <w:szCs w:val="24"/>
          <w:u w:val="single"/>
        </w:rPr>
      </w:pPr>
      <w:r w:rsidRPr="00E8305B">
        <w:rPr>
          <w:b/>
          <w:sz w:val="24"/>
          <w:szCs w:val="24"/>
          <w:u w:val="single"/>
        </w:rPr>
        <w:t>Hinweise zu Förderfähigkeit von Ausgaben</w:t>
      </w:r>
    </w:p>
    <w:p w:rsidR="00D41EF8" w:rsidRDefault="00D41EF8" w:rsidP="00A1024B">
      <w:pPr>
        <w:pStyle w:val="Default"/>
        <w:rPr>
          <w:b/>
          <w:bCs/>
          <w:sz w:val="22"/>
          <w:szCs w:val="22"/>
        </w:rPr>
      </w:pPr>
    </w:p>
    <w:p w:rsidR="00D41EF8" w:rsidRDefault="00D41EF8" w:rsidP="00A1024B">
      <w:pPr>
        <w:pStyle w:val="Default"/>
        <w:rPr>
          <w:b/>
          <w:bCs/>
          <w:sz w:val="22"/>
          <w:szCs w:val="22"/>
        </w:rPr>
      </w:pPr>
    </w:p>
    <w:p w:rsidR="00A1024B" w:rsidRDefault="00A1024B" w:rsidP="00A1024B">
      <w:pPr>
        <w:pStyle w:val="Default"/>
        <w:rPr>
          <w:b/>
          <w:bCs/>
          <w:sz w:val="22"/>
          <w:szCs w:val="22"/>
        </w:rPr>
      </w:pPr>
      <w:r>
        <w:rPr>
          <w:b/>
          <w:bCs/>
          <w:sz w:val="22"/>
          <w:szCs w:val="22"/>
        </w:rPr>
        <w:t>Förderfähige Sachausgaben sind u.a.:</w:t>
      </w:r>
    </w:p>
    <w:p w:rsidR="00A1024B" w:rsidRDefault="00A1024B" w:rsidP="00EB770F">
      <w:pPr>
        <w:pStyle w:val="Default"/>
        <w:numPr>
          <w:ilvl w:val="0"/>
          <w:numId w:val="5"/>
        </w:numPr>
        <w:jc w:val="both"/>
        <w:rPr>
          <w:sz w:val="22"/>
          <w:szCs w:val="22"/>
        </w:rPr>
      </w:pPr>
      <w:r>
        <w:rPr>
          <w:sz w:val="22"/>
          <w:szCs w:val="22"/>
        </w:rPr>
        <w:t>Reisekosten innerhalb des Projekts und Re</w:t>
      </w:r>
      <w:r w:rsidR="004B2F16">
        <w:rPr>
          <w:sz w:val="22"/>
          <w:szCs w:val="22"/>
        </w:rPr>
        <w:t>isekosten der Teilnehmer</w:t>
      </w:r>
      <w:r w:rsidR="00E55422">
        <w:rPr>
          <w:sz w:val="22"/>
          <w:szCs w:val="22"/>
        </w:rPr>
        <w:t>*</w:t>
      </w:r>
      <w:r w:rsidR="004B2F16">
        <w:rPr>
          <w:sz w:val="22"/>
          <w:szCs w:val="22"/>
        </w:rPr>
        <w:t>innen</w:t>
      </w:r>
    </w:p>
    <w:p w:rsidR="00A1024B" w:rsidRPr="00A1024B" w:rsidRDefault="00A1024B" w:rsidP="00EB770F">
      <w:pPr>
        <w:numPr>
          <w:ilvl w:val="0"/>
          <w:numId w:val="5"/>
        </w:numPr>
        <w:autoSpaceDE w:val="0"/>
        <w:autoSpaceDN w:val="0"/>
        <w:adjustRightInd w:val="0"/>
        <w:jc w:val="both"/>
        <w:rPr>
          <w:rFonts w:cs="Arial"/>
        </w:rPr>
      </w:pPr>
      <w:r>
        <w:rPr>
          <w:rFonts w:cs="Arial"/>
        </w:rPr>
        <w:t>H</w:t>
      </w:r>
      <w:r w:rsidRPr="00A1024B">
        <w:rPr>
          <w:rFonts w:cs="Arial"/>
        </w:rPr>
        <w:t>onorare, z.B. für Referent</w:t>
      </w:r>
      <w:r w:rsidR="00E55422">
        <w:rPr>
          <w:rFonts w:cs="Arial"/>
        </w:rPr>
        <w:t>*</w:t>
      </w:r>
      <w:r w:rsidRPr="00A1024B">
        <w:rPr>
          <w:rFonts w:cs="Arial"/>
        </w:rPr>
        <w:t>inn</w:t>
      </w:r>
      <w:r w:rsidR="004B2F16">
        <w:rPr>
          <w:rFonts w:cs="Arial"/>
        </w:rPr>
        <w:t>en, externe Mitarbeiter</w:t>
      </w:r>
      <w:r w:rsidR="00E55422">
        <w:rPr>
          <w:rFonts w:cs="Arial"/>
        </w:rPr>
        <w:t>*</w:t>
      </w:r>
      <w:r w:rsidR="004B2F16">
        <w:rPr>
          <w:rFonts w:cs="Arial"/>
        </w:rPr>
        <w:t>innen</w:t>
      </w:r>
    </w:p>
    <w:p w:rsidR="00A1024B" w:rsidRPr="00104C92" w:rsidRDefault="00A1024B" w:rsidP="00EB770F">
      <w:pPr>
        <w:numPr>
          <w:ilvl w:val="0"/>
          <w:numId w:val="5"/>
        </w:numPr>
        <w:autoSpaceDE w:val="0"/>
        <w:autoSpaceDN w:val="0"/>
        <w:adjustRightInd w:val="0"/>
        <w:jc w:val="both"/>
        <w:rPr>
          <w:rFonts w:cs="Arial"/>
        </w:rPr>
      </w:pPr>
      <w:r w:rsidRPr="00104C92">
        <w:rPr>
          <w:rFonts w:cs="Arial"/>
        </w:rPr>
        <w:t>Mietkosten</w:t>
      </w:r>
      <w:r w:rsidR="00104C92" w:rsidRPr="00104C92">
        <w:rPr>
          <w:rFonts w:cs="Arial"/>
        </w:rPr>
        <w:t xml:space="preserve">, die im Rahmen des Projektes anfallen </w:t>
      </w:r>
      <w:r w:rsidR="006A5F89" w:rsidRPr="00104C92">
        <w:rPr>
          <w:rFonts w:cs="Arial"/>
        </w:rPr>
        <w:t>(keine Pauschalen</w:t>
      </w:r>
      <w:r w:rsidR="004B2F16">
        <w:rPr>
          <w:rFonts w:cs="Arial"/>
        </w:rPr>
        <w:t>)</w:t>
      </w:r>
    </w:p>
    <w:p w:rsidR="00A1024B" w:rsidRPr="00A1024B" w:rsidRDefault="00A1024B" w:rsidP="00EB770F">
      <w:pPr>
        <w:numPr>
          <w:ilvl w:val="0"/>
          <w:numId w:val="5"/>
        </w:numPr>
        <w:autoSpaceDE w:val="0"/>
        <w:autoSpaceDN w:val="0"/>
        <w:adjustRightInd w:val="0"/>
        <w:jc w:val="both"/>
        <w:rPr>
          <w:rFonts w:cs="Arial"/>
        </w:rPr>
      </w:pPr>
      <w:r>
        <w:rPr>
          <w:rFonts w:cs="Arial"/>
        </w:rPr>
        <w:t>K</w:t>
      </w:r>
      <w:r w:rsidRPr="00A1024B">
        <w:rPr>
          <w:rFonts w:cs="Arial"/>
        </w:rPr>
        <w:t>osten für Unterkunft und Verpflegung</w:t>
      </w:r>
      <w:r w:rsidR="00E635E2">
        <w:rPr>
          <w:rFonts w:cs="Arial"/>
        </w:rPr>
        <w:t xml:space="preserve"> (</w:t>
      </w:r>
      <w:r w:rsidR="00E635E2" w:rsidRPr="00E635E2">
        <w:rPr>
          <w:rFonts w:cs="Arial"/>
          <w:b/>
        </w:rPr>
        <w:t>nur im Ausnahmefall</w:t>
      </w:r>
      <w:r w:rsidR="00E635E2">
        <w:rPr>
          <w:rFonts w:cs="Arial"/>
        </w:rPr>
        <w:t>)</w:t>
      </w:r>
    </w:p>
    <w:p w:rsidR="00A1024B" w:rsidRPr="00A1024B" w:rsidRDefault="004B2F16" w:rsidP="00EB770F">
      <w:pPr>
        <w:numPr>
          <w:ilvl w:val="0"/>
          <w:numId w:val="5"/>
        </w:numPr>
        <w:autoSpaceDE w:val="0"/>
        <w:autoSpaceDN w:val="0"/>
        <w:adjustRightInd w:val="0"/>
        <w:jc w:val="both"/>
        <w:rPr>
          <w:rFonts w:cs="Arial"/>
        </w:rPr>
      </w:pPr>
      <w:r>
        <w:rPr>
          <w:rFonts w:cs="Arial"/>
        </w:rPr>
        <w:t>Kosten für Mietleasing</w:t>
      </w:r>
    </w:p>
    <w:p w:rsidR="00A1024B" w:rsidRPr="00A1024B" w:rsidRDefault="000E223D" w:rsidP="00EB770F">
      <w:pPr>
        <w:numPr>
          <w:ilvl w:val="0"/>
          <w:numId w:val="5"/>
        </w:numPr>
        <w:autoSpaceDE w:val="0"/>
        <w:autoSpaceDN w:val="0"/>
        <w:adjustRightInd w:val="0"/>
        <w:jc w:val="both"/>
        <w:rPr>
          <w:rFonts w:cs="Arial"/>
        </w:rPr>
      </w:pPr>
      <w:r>
        <w:rPr>
          <w:rFonts w:cs="Arial"/>
        </w:rPr>
        <w:t>Portokosten, Telefon-</w:t>
      </w:r>
      <w:r w:rsidR="00A1024B" w:rsidRPr="00A1024B">
        <w:rPr>
          <w:rFonts w:cs="Arial"/>
        </w:rPr>
        <w:t>/Internetkosten</w:t>
      </w:r>
      <w:r w:rsidR="00BA045B">
        <w:rPr>
          <w:rFonts w:cs="Arial"/>
        </w:rPr>
        <w:t xml:space="preserve"> (keine Pauschalen)</w:t>
      </w:r>
      <w:r w:rsidR="00A1024B" w:rsidRPr="00A1024B">
        <w:rPr>
          <w:rFonts w:cs="Arial"/>
        </w:rPr>
        <w:t>, Bürobedarf, Arbeits- und Verbrauchsmaterialien, Zeitschriften und Bü</w:t>
      </w:r>
      <w:r w:rsidR="004B2F16">
        <w:rPr>
          <w:rFonts w:cs="Arial"/>
        </w:rPr>
        <w:t>cher</w:t>
      </w:r>
    </w:p>
    <w:p w:rsidR="004B2F16" w:rsidRDefault="00283960" w:rsidP="00EB770F">
      <w:pPr>
        <w:numPr>
          <w:ilvl w:val="0"/>
          <w:numId w:val="5"/>
        </w:numPr>
        <w:autoSpaceDE w:val="0"/>
        <w:autoSpaceDN w:val="0"/>
        <w:adjustRightInd w:val="0"/>
        <w:jc w:val="both"/>
      </w:pPr>
      <w:r>
        <w:t xml:space="preserve">Anschaffung </w:t>
      </w:r>
      <w:r w:rsidR="00A1024B" w:rsidRPr="00A1024B">
        <w:t>geringwertige</w:t>
      </w:r>
      <w:r>
        <w:t>r</w:t>
      </w:r>
      <w:r w:rsidR="00A1024B" w:rsidRPr="00A1024B">
        <w:t xml:space="preserve"> Wirtsch</w:t>
      </w:r>
      <w:r w:rsidR="004B2F16">
        <w:t xml:space="preserve">aftsgüter (&lt; 410 Euro netto) </w:t>
      </w:r>
    </w:p>
    <w:p w:rsidR="00182EE0" w:rsidRDefault="00182EE0" w:rsidP="00EB770F">
      <w:pPr>
        <w:numPr>
          <w:ilvl w:val="0"/>
          <w:numId w:val="5"/>
        </w:numPr>
        <w:autoSpaceDE w:val="0"/>
        <w:autoSpaceDN w:val="0"/>
        <w:adjustRightInd w:val="0"/>
        <w:jc w:val="both"/>
      </w:pPr>
      <w:r>
        <w:t>Eigenleistung in Form von erbrachter Arbeitsleistung, sofern für diese tatsächlich ein Entgelt fließt</w:t>
      </w:r>
    </w:p>
    <w:p w:rsidR="00A1024B" w:rsidRDefault="00A1024B" w:rsidP="00EB770F">
      <w:pPr>
        <w:numPr>
          <w:ilvl w:val="0"/>
          <w:numId w:val="5"/>
        </w:numPr>
        <w:autoSpaceDE w:val="0"/>
        <w:autoSpaceDN w:val="0"/>
        <w:adjustRightInd w:val="0"/>
        <w:jc w:val="both"/>
      </w:pPr>
      <w:r w:rsidRPr="00A1024B">
        <w:t xml:space="preserve">Ausgaben für </w:t>
      </w:r>
      <w:r>
        <w:t>Veröffentlichungen</w:t>
      </w:r>
      <w:r w:rsidR="000E223D">
        <w:t>/</w:t>
      </w:r>
      <w:r w:rsidR="004B2F16">
        <w:t>Druckerzeugnisse</w:t>
      </w:r>
    </w:p>
    <w:p w:rsidR="00A1024B" w:rsidRDefault="00A1024B" w:rsidP="00A1024B">
      <w:pPr>
        <w:autoSpaceDE w:val="0"/>
        <w:autoSpaceDN w:val="0"/>
        <w:adjustRightInd w:val="0"/>
      </w:pPr>
    </w:p>
    <w:p w:rsidR="0093076D" w:rsidRDefault="0093076D" w:rsidP="00A1024B">
      <w:pPr>
        <w:autoSpaceDE w:val="0"/>
        <w:autoSpaceDN w:val="0"/>
        <w:adjustRightInd w:val="0"/>
      </w:pPr>
    </w:p>
    <w:p w:rsidR="00A1024B" w:rsidRPr="00C97A6E" w:rsidRDefault="00A1024B" w:rsidP="00A1024B">
      <w:pPr>
        <w:autoSpaceDE w:val="0"/>
        <w:autoSpaceDN w:val="0"/>
        <w:adjustRightInd w:val="0"/>
        <w:rPr>
          <w:b/>
        </w:rPr>
      </w:pPr>
      <w:r w:rsidRPr="00C97A6E">
        <w:rPr>
          <w:b/>
        </w:rPr>
        <w:t>Reisekosten</w:t>
      </w:r>
    </w:p>
    <w:p w:rsidR="006D45EA" w:rsidRDefault="00A1024B" w:rsidP="00EB770F">
      <w:pPr>
        <w:numPr>
          <w:ilvl w:val="0"/>
          <w:numId w:val="6"/>
        </w:numPr>
        <w:autoSpaceDE w:val="0"/>
        <w:autoSpaceDN w:val="0"/>
        <w:adjustRightInd w:val="0"/>
        <w:ind w:right="72"/>
        <w:jc w:val="both"/>
        <w:rPr>
          <w:rFonts w:cs="Arial"/>
          <w:color w:val="000000"/>
        </w:rPr>
      </w:pPr>
      <w:r w:rsidRPr="00A1024B">
        <w:rPr>
          <w:rFonts w:cs="Arial"/>
          <w:color w:val="000000"/>
        </w:rPr>
        <w:t xml:space="preserve">Reisekosten sind im Rahmen der Durchführung der </w:t>
      </w:r>
      <w:r w:rsidR="006D45EA">
        <w:rPr>
          <w:rFonts w:cs="Arial"/>
          <w:color w:val="000000"/>
        </w:rPr>
        <w:t>Einzelprojekte förderfähig</w:t>
      </w:r>
      <w:r w:rsidR="00B22F51">
        <w:rPr>
          <w:rFonts w:cs="Arial"/>
          <w:color w:val="000000"/>
        </w:rPr>
        <w:t>.</w:t>
      </w:r>
    </w:p>
    <w:p w:rsidR="00A1024B" w:rsidRPr="00A1024B" w:rsidRDefault="00217953" w:rsidP="00EB770F">
      <w:pPr>
        <w:numPr>
          <w:ilvl w:val="0"/>
          <w:numId w:val="6"/>
        </w:numPr>
        <w:autoSpaceDE w:val="0"/>
        <w:autoSpaceDN w:val="0"/>
        <w:adjustRightInd w:val="0"/>
        <w:ind w:right="72"/>
        <w:jc w:val="both"/>
        <w:rPr>
          <w:rFonts w:cs="Arial"/>
          <w:color w:val="000000"/>
        </w:rPr>
      </w:pPr>
      <w:r>
        <w:rPr>
          <w:rFonts w:cs="Arial"/>
          <w:color w:val="000000"/>
        </w:rPr>
        <w:t>Die</w:t>
      </w:r>
      <w:r w:rsidR="00A1024B" w:rsidRPr="00A1024B">
        <w:rPr>
          <w:rFonts w:cs="Arial"/>
          <w:color w:val="000000"/>
        </w:rPr>
        <w:t xml:space="preserve"> Bemessung der Höhe der förderfähigen Kosten</w:t>
      </w:r>
      <w:r w:rsidR="00C97A6E">
        <w:rPr>
          <w:rFonts w:cs="Arial"/>
          <w:color w:val="000000"/>
        </w:rPr>
        <w:t xml:space="preserve"> </w:t>
      </w:r>
      <w:r>
        <w:rPr>
          <w:rFonts w:cs="Arial"/>
          <w:color w:val="000000"/>
        </w:rPr>
        <w:t>richtet sich nach dem</w:t>
      </w:r>
      <w:r w:rsidR="00A1024B" w:rsidRPr="00A1024B">
        <w:rPr>
          <w:rFonts w:cs="Arial"/>
          <w:color w:val="000000"/>
        </w:rPr>
        <w:t xml:space="preserve"> Bundesreisekostengese</w:t>
      </w:r>
      <w:r w:rsidR="000E223D">
        <w:rPr>
          <w:rFonts w:cs="Arial"/>
          <w:color w:val="000000"/>
        </w:rPr>
        <w:t>tz (BRKG) in der jeweils</w:t>
      </w:r>
      <w:r w:rsidR="00A1024B" w:rsidRPr="00A1024B">
        <w:rPr>
          <w:rFonts w:cs="Arial"/>
          <w:color w:val="000000"/>
        </w:rPr>
        <w:t xml:space="preserve"> gültigen Fassung</w:t>
      </w:r>
      <w:r w:rsidR="00B22F51">
        <w:rPr>
          <w:rFonts w:cs="Arial"/>
          <w:color w:val="000000"/>
        </w:rPr>
        <w:t>.</w:t>
      </w:r>
      <w:r w:rsidR="00A1024B" w:rsidRPr="00A1024B">
        <w:rPr>
          <w:rFonts w:cs="Arial"/>
          <w:color w:val="000000"/>
        </w:rPr>
        <w:t xml:space="preserve"> </w:t>
      </w:r>
      <w:r w:rsidR="00506C4A">
        <w:rPr>
          <w:rFonts w:cs="Arial"/>
          <w:color w:val="000000"/>
        </w:rPr>
        <w:t xml:space="preserve">Sondertarife sind zu nutzen. </w:t>
      </w:r>
    </w:p>
    <w:p w:rsidR="00A1024B" w:rsidRPr="00A1024B" w:rsidRDefault="00A1024B" w:rsidP="00EB770F">
      <w:pPr>
        <w:numPr>
          <w:ilvl w:val="0"/>
          <w:numId w:val="6"/>
        </w:numPr>
        <w:autoSpaceDE w:val="0"/>
        <w:autoSpaceDN w:val="0"/>
        <w:adjustRightInd w:val="0"/>
        <w:ind w:right="72"/>
        <w:jc w:val="both"/>
        <w:rPr>
          <w:rFonts w:cs="Arial"/>
          <w:color w:val="000000"/>
        </w:rPr>
      </w:pPr>
      <w:r w:rsidRPr="00A1024B">
        <w:rPr>
          <w:rFonts w:cs="Arial"/>
          <w:color w:val="000000"/>
        </w:rPr>
        <w:t>Bei Benutzung des privaten PKW wird gem. § 5</w:t>
      </w:r>
      <w:r w:rsidR="00506C4A">
        <w:rPr>
          <w:rFonts w:cs="Arial"/>
          <w:color w:val="000000"/>
        </w:rPr>
        <w:t xml:space="preserve"> Abs. 1</w:t>
      </w:r>
      <w:r w:rsidRPr="00A1024B">
        <w:rPr>
          <w:rFonts w:cs="Arial"/>
          <w:color w:val="000000"/>
        </w:rPr>
        <w:t xml:space="preserve"> BRKG eine </w:t>
      </w:r>
      <w:r w:rsidR="00217953">
        <w:rPr>
          <w:rFonts w:cs="Arial"/>
          <w:color w:val="000000"/>
        </w:rPr>
        <w:t>We</w:t>
      </w:r>
      <w:r w:rsidRPr="00A1024B">
        <w:rPr>
          <w:rFonts w:cs="Arial"/>
          <w:color w:val="000000"/>
        </w:rPr>
        <w:t>gstrecken</w:t>
      </w:r>
      <w:r w:rsidR="00217953">
        <w:rPr>
          <w:rFonts w:cs="Arial"/>
          <w:color w:val="000000"/>
        </w:rPr>
        <w:t>-</w:t>
      </w:r>
      <w:r w:rsidRPr="00A1024B">
        <w:rPr>
          <w:rFonts w:cs="Arial"/>
          <w:color w:val="000000"/>
        </w:rPr>
        <w:t xml:space="preserve">entschädigung in Höhe von </w:t>
      </w:r>
      <w:r w:rsidRPr="005E0673">
        <w:rPr>
          <w:rFonts w:cs="Arial"/>
          <w:b/>
          <w:color w:val="000000"/>
        </w:rPr>
        <w:t>0,20 Euro pro Kilometer</w:t>
      </w:r>
      <w:r w:rsidRPr="00A1024B">
        <w:rPr>
          <w:rFonts w:cs="Arial"/>
          <w:color w:val="000000"/>
        </w:rPr>
        <w:t xml:space="preserve">, begrenzt auf einen Höchstbetrag von 130,00 Euro pro Dienstreise gewährt. </w:t>
      </w:r>
    </w:p>
    <w:p w:rsidR="00C97A6E" w:rsidRDefault="00C97A6E" w:rsidP="00A1024B">
      <w:pPr>
        <w:pStyle w:val="Default"/>
        <w:rPr>
          <w:b/>
          <w:bCs/>
          <w:sz w:val="20"/>
          <w:szCs w:val="20"/>
        </w:rPr>
      </w:pPr>
    </w:p>
    <w:p w:rsidR="0093076D" w:rsidRDefault="0093076D" w:rsidP="00A1024B">
      <w:pPr>
        <w:pStyle w:val="Default"/>
        <w:rPr>
          <w:b/>
          <w:bCs/>
          <w:sz w:val="20"/>
          <w:szCs w:val="20"/>
        </w:rPr>
      </w:pPr>
    </w:p>
    <w:p w:rsidR="00A1024B" w:rsidRPr="00705BAC" w:rsidRDefault="00A1024B" w:rsidP="00A1024B">
      <w:pPr>
        <w:pStyle w:val="Default"/>
        <w:rPr>
          <w:b/>
          <w:bCs/>
          <w:sz w:val="22"/>
          <w:szCs w:val="22"/>
        </w:rPr>
      </w:pPr>
      <w:r w:rsidRPr="00705BAC">
        <w:rPr>
          <w:b/>
          <w:bCs/>
          <w:sz w:val="22"/>
          <w:szCs w:val="22"/>
        </w:rPr>
        <w:t>Honorare</w:t>
      </w:r>
    </w:p>
    <w:p w:rsidR="00C97A6E" w:rsidRPr="00C97A6E" w:rsidRDefault="00C97A6E" w:rsidP="00EB770F">
      <w:pPr>
        <w:numPr>
          <w:ilvl w:val="0"/>
          <w:numId w:val="7"/>
        </w:numPr>
        <w:autoSpaceDE w:val="0"/>
        <w:autoSpaceDN w:val="0"/>
        <w:adjustRightInd w:val="0"/>
        <w:ind w:right="72"/>
        <w:jc w:val="both"/>
        <w:rPr>
          <w:rFonts w:cs="Arial"/>
          <w:color w:val="000000"/>
        </w:rPr>
      </w:pPr>
      <w:r w:rsidRPr="00C97A6E">
        <w:rPr>
          <w:rFonts w:cs="Arial"/>
          <w:color w:val="000000"/>
        </w:rPr>
        <w:t xml:space="preserve">Honorarverträge </w:t>
      </w:r>
      <w:r w:rsidR="00217953">
        <w:rPr>
          <w:rFonts w:cs="Arial"/>
          <w:color w:val="000000"/>
        </w:rPr>
        <w:t>sind</w:t>
      </w:r>
      <w:r w:rsidRPr="00C97A6E">
        <w:rPr>
          <w:rFonts w:cs="Arial"/>
          <w:color w:val="000000"/>
        </w:rPr>
        <w:t xml:space="preserve"> immer schriftlich </w:t>
      </w:r>
      <w:r w:rsidR="00217953">
        <w:rPr>
          <w:rFonts w:cs="Arial"/>
          <w:color w:val="000000"/>
        </w:rPr>
        <w:t>zu vereinbaren</w:t>
      </w:r>
      <w:r w:rsidR="005E0673">
        <w:rPr>
          <w:rFonts w:cs="Arial"/>
          <w:color w:val="000000"/>
        </w:rPr>
        <w:t xml:space="preserve"> (Vertrag, Rechnung, Stundenauflistung).</w:t>
      </w:r>
      <w:r w:rsidR="00217953">
        <w:rPr>
          <w:rFonts w:cs="Arial"/>
          <w:color w:val="000000"/>
        </w:rPr>
        <w:t xml:space="preserve"> </w:t>
      </w:r>
      <w:r w:rsidRPr="00C97A6E">
        <w:rPr>
          <w:rFonts w:cs="Arial"/>
          <w:color w:val="000000"/>
        </w:rPr>
        <w:t xml:space="preserve"> </w:t>
      </w:r>
    </w:p>
    <w:p w:rsidR="00C97A6E" w:rsidRPr="00C97A6E" w:rsidRDefault="00C97A6E" w:rsidP="00EB770F">
      <w:pPr>
        <w:numPr>
          <w:ilvl w:val="0"/>
          <w:numId w:val="7"/>
        </w:numPr>
        <w:autoSpaceDE w:val="0"/>
        <w:autoSpaceDN w:val="0"/>
        <w:adjustRightInd w:val="0"/>
        <w:ind w:right="72"/>
        <w:jc w:val="both"/>
        <w:rPr>
          <w:rFonts w:cs="Arial"/>
          <w:color w:val="000000"/>
        </w:rPr>
      </w:pPr>
      <w:r w:rsidRPr="00C97A6E">
        <w:rPr>
          <w:rFonts w:cs="Arial"/>
          <w:color w:val="000000"/>
        </w:rPr>
        <w:t>Bei Honorarkräften mit vergleichbaren Aufgaben von Mitarbeiter</w:t>
      </w:r>
      <w:r w:rsidR="00E55422">
        <w:rPr>
          <w:rFonts w:cs="Arial"/>
          <w:color w:val="000000"/>
        </w:rPr>
        <w:t>*</w:t>
      </w:r>
      <w:r w:rsidRPr="00C97A6E">
        <w:rPr>
          <w:rFonts w:cs="Arial"/>
          <w:color w:val="000000"/>
        </w:rPr>
        <w:t>innen des öffentliche</w:t>
      </w:r>
      <w:r w:rsidR="006D3375">
        <w:rPr>
          <w:rFonts w:cs="Arial"/>
          <w:color w:val="000000"/>
        </w:rPr>
        <w:t>n Dienstes ist ein am BAT/TVöD</w:t>
      </w:r>
      <w:r w:rsidRPr="00C97A6E">
        <w:rPr>
          <w:rFonts w:cs="Arial"/>
          <w:color w:val="000000"/>
        </w:rPr>
        <w:t>-Bund angelehnter Stundensatz erstattungsfähig</w:t>
      </w:r>
      <w:r w:rsidR="00B22F51">
        <w:rPr>
          <w:rFonts w:cs="Arial"/>
          <w:color w:val="000000"/>
        </w:rPr>
        <w:t>.</w:t>
      </w:r>
      <w:r w:rsidRPr="00C97A6E">
        <w:rPr>
          <w:rFonts w:cs="Arial"/>
          <w:color w:val="000000"/>
        </w:rPr>
        <w:t xml:space="preserve"> Ansonsten ist eine Anlehnung an Honorarverordnungen öffentlicher Auftraggeber</w:t>
      </w:r>
      <w:r w:rsidR="00E55422">
        <w:rPr>
          <w:rFonts w:cs="Arial"/>
          <w:color w:val="000000"/>
        </w:rPr>
        <w:t>*</w:t>
      </w:r>
      <w:r w:rsidRPr="00C97A6E">
        <w:rPr>
          <w:rFonts w:cs="Arial"/>
          <w:color w:val="000000"/>
        </w:rPr>
        <w:t>innen statthaft (Kommune, Land oder bspw. Volkshochschulen/</w:t>
      </w:r>
      <w:r w:rsidR="00104C92">
        <w:rPr>
          <w:rFonts w:cs="Arial"/>
          <w:color w:val="000000"/>
        </w:rPr>
        <w:t>Univ.</w:t>
      </w:r>
      <w:r w:rsidRPr="00C97A6E">
        <w:rPr>
          <w:rFonts w:cs="Arial"/>
          <w:color w:val="000000"/>
        </w:rPr>
        <w:t xml:space="preserve">) </w:t>
      </w:r>
    </w:p>
    <w:p w:rsidR="0093076D" w:rsidRPr="0093076D" w:rsidRDefault="00B22F51" w:rsidP="00EB770F">
      <w:pPr>
        <w:pStyle w:val="Default"/>
        <w:numPr>
          <w:ilvl w:val="0"/>
          <w:numId w:val="7"/>
        </w:numPr>
        <w:jc w:val="both"/>
        <w:rPr>
          <w:color w:val="auto"/>
          <w:sz w:val="22"/>
          <w:szCs w:val="22"/>
        </w:rPr>
      </w:pPr>
      <w:r>
        <w:rPr>
          <w:sz w:val="22"/>
          <w:szCs w:val="22"/>
        </w:rPr>
        <w:t>Bei Honorarkräften, deren Tätigkeit nicht mit Aufgaben von Mitarbeiter</w:t>
      </w:r>
      <w:r w:rsidR="00E55422">
        <w:rPr>
          <w:sz w:val="22"/>
          <w:szCs w:val="22"/>
        </w:rPr>
        <w:t>*</w:t>
      </w:r>
      <w:r>
        <w:rPr>
          <w:sz w:val="22"/>
          <w:szCs w:val="22"/>
        </w:rPr>
        <w:t xml:space="preserve">innen des öffentlichen Dienstes vergleichbar ist, sind marktübliche Preise förderfähig, die durch eine Markterkundung, i. d. R. durch die Einholung von drei Angeboten, ermittelt </w:t>
      </w:r>
    </w:p>
    <w:p w:rsidR="00C97A6E" w:rsidRPr="00B22F51" w:rsidRDefault="00B22F51" w:rsidP="00EB770F">
      <w:pPr>
        <w:pStyle w:val="Default"/>
        <w:ind w:left="720"/>
        <w:jc w:val="both"/>
        <w:rPr>
          <w:color w:val="auto"/>
          <w:sz w:val="22"/>
          <w:szCs w:val="22"/>
        </w:rPr>
      </w:pPr>
      <w:r>
        <w:rPr>
          <w:sz w:val="22"/>
          <w:szCs w:val="22"/>
        </w:rPr>
        <w:t>werden. Darüber ist ein Vermerk zu fertigen</w:t>
      </w:r>
      <w:r w:rsidR="005A2A39">
        <w:rPr>
          <w:sz w:val="22"/>
          <w:szCs w:val="22"/>
        </w:rPr>
        <w:t>.</w:t>
      </w:r>
    </w:p>
    <w:p w:rsidR="00D41EF8" w:rsidRDefault="00D41EF8" w:rsidP="00B22F51">
      <w:pPr>
        <w:pStyle w:val="Default"/>
        <w:rPr>
          <w:b/>
          <w:sz w:val="22"/>
          <w:szCs w:val="22"/>
        </w:rPr>
      </w:pPr>
    </w:p>
    <w:p w:rsidR="00D41EF8" w:rsidRDefault="00D41EF8" w:rsidP="00B22F51">
      <w:pPr>
        <w:pStyle w:val="Default"/>
        <w:rPr>
          <w:b/>
          <w:sz w:val="22"/>
          <w:szCs w:val="22"/>
        </w:rPr>
      </w:pPr>
    </w:p>
    <w:p w:rsidR="00B22F51" w:rsidRDefault="00B22F51" w:rsidP="00B22F51">
      <w:pPr>
        <w:pStyle w:val="Default"/>
        <w:rPr>
          <w:b/>
          <w:sz w:val="22"/>
          <w:szCs w:val="22"/>
        </w:rPr>
      </w:pPr>
      <w:r w:rsidRPr="00B22F51">
        <w:rPr>
          <w:b/>
          <w:sz w:val="22"/>
          <w:szCs w:val="22"/>
        </w:rPr>
        <w:t>Mietkosten</w:t>
      </w:r>
    </w:p>
    <w:p w:rsidR="00B22F51" w:rsidRPr="00D41EF8" w:rsidRDefault="00B22F51" w:rsidP="00B22F51">
      <w:pPr>
        <w:numPr>
          <w:ilvl w:val="0"/>
          <w:numId w:val="8"/>
        </w:numPr>
        <w:autoSpaceDE w:val="0"/>
        <w:autoSpaceDN w:val="0"/>
        <w:adjustRightInd w:val="0"/>
        <w:ind w:right="-108"/>
        <w:jc w:val="both"/>
        <w:rPr>
          <w:b/>
        </w:rPr>
      </w:pPr>
      <w:r>
        <w:t xml:space="preserve">Mietkosten können nur für Räume geltend gemacht werden, für die </w:t>
      </w:r>
      <w:r w:rsidRPr="00B22F51">
        <w:t>durch den/die Zuwendungsempfänger</w:t>
      </w:r>
      <w:r w:rsidR="00E55422">
        <w:t>*</w:t>
      </w:r>
      <w:r w:rsidRPr="00B22F51">
        <w:t xml:space="preserve">in tatsächlich Miete </w:t>
      </w:r>
      <w:r>
        <w:t xml:space="preserve">entrichtet wird und hier nur für den Flächen- und Zeitanteil, der durch das Einzelprojekt genutzt wird. </w:t>
      </w:r>
      <w:r w:rsidR="00EB770F">
        <w:t>Dieser ist gesondert nachzuweisen.</w:t>
      </w:r>
    </w:p>
    <w:p w:rsidR="00B22F51" w:rsidRPr="00B22F51" w:rsidRDefault="00B22F51" w:rsidP="00B22F51">
      <w:pPr>
        <w:autoSpaceDE w:val="0"/>
        <w:autoSpaceDN w:val="0"/>
        <w:adjustRightInd w:val="0"/>
        <w:ind w:right="-108"/>
        <w:jc w:val="both"/>
        <w:rPr>
          <w:b/>
        </w:rPr>
      </w:pPr>
      <w:r w:rsidRPr="00B22F51">
        <w:rPr>
          <w:b/>
        </w:rPr>
        <w:lastRenderedPageBreak/>
        <w:t>Unterkunft/ Verpflegung</w:t>
      </w:r>
    </w:p>
    <w:p w:rsidR="00A1024B" w:rsidRPr="00B22F51" w:rsidRDefault="00283FBC" w:rsidP="00EB770F">
      <w:pPr>
        <w:pStyle w:val="Default"/>
        <w:numPr>
          <w:ilvl w:val="0"/>
          <w:numId w:val="8"/>
        </w:numPr>
        <w:jc w:val="both"/>
        <w:rPr>
          <w:color w:val="auto"/>
          <w:sz w:val="22"/>
          <w:szCs w:val="22"/>
        </w:rPr>
      </w:pPr>
      <w:r>
        <w:rPr>
          <w:sz w:val="22"/>
          <w:szCs w:val="22"/>
        </w:rPr>
        <w:t xml:space="preserve">Kosten für Unterkunft und Verpflegung, die in Verbindung mit einer Reise entstehen, sind nach dem Bundesreiskostengesetz in der jeweils gültigen Fassung abzurechnen. Darüber hinaus gehende Ausgaben sind nicht zuwendungsfähig. In Ausnahmefällen wird </w:t>
      </w:r>
      <w:r w:rsidR="00E64E18">
        <w:rPr>
          <w:sz w:val="22"/>
          <w:szCs w:val="22"/>
        </w:rPr>
        <w:t xml:space="preserve">Verpflegung </w:t>
      </w:r>
      <w:r>
        <w:rPr>
          <w:sz w:val="22"/>
          <w:szCs w:val="22"/>
        </w:rPr>
        <w:t>dann anerkannt,</w:t>
      </w:r>
      <w:r w:rsidR="00E64E18">
        <w:rPr>
          <w:sz w:val="22"/>
          <w:szCs w:val="22"/>
        </w:rPr>
        <w:t xml:space="preserve"> wenn die Kosten zur Umsetzung des Projektes </w:t>
      </w:r>
      <w:r w:rsidR="00E64E18" w:rsidRPr="00705BAC">
        <w:rPr>
          <w:b/>
          <w:sz w:val="22"/>
          <w:szCs w:val="22"/>
        </w:rPr>
        <w:t>absolut notwendig</w:t>
      </w:r>
      <w:r w:rsidR="00E64E18">
        <w:rPr>
          <w:sz w:val="22"/>
          <w:szCs w:val="22"/>
        </w:rPr>
        <w:t xml:space="preserve"> sind (Mittel zum Zweck). </w:t>
      </w:r>
      <w:r w:rsidR="00B22F51">
        <w:rPr>
          <w:sz w:val="22"/>
          <w:szCs w:val="22"/>
        </w:rPr>
        <w:t>Als Maßstab gelten die nach den Richtlinien des Kinder- und Jugendplanes des Bundes (RL-KJP) vom 28.08.2009 (GMBl 2009, S. 790 ff.) festgelegten Fördersätze unter III. Nr. 3.1 bis 3.6.</w:t>
      </w:r>
    </w:p>
    <w:p w:rsidR="00B22F51" w:rsidRDefault="00B22F51" w:rsidP="00B22F51">
      <w:pPr>
        <w:pStyle w:val="Default"/>
        <w:rPr>
          <w:sz w:val="22"/>
          <w:szCs w:val="22"/>
        </w:rPr>
      </w:pPr>
    </w:p>
    <w:p w:rsidR="0093076D" w:rsidRDefault="0093076D" w:rsidP="00B22F51">
      <w:pPr>
        <w:pStyle w:val="Default"/>
        <w:rPr>
          <w:sz w:val="22"/>
          <w:szCs w:val="22"/>
        </w:rPr>
      </w:pPr>
    </w:p>
    <w:p w:rsidR="00B22F51" w:rsidRPr="00B22F51" w:rsidRDefault="00B22F51" w:rsidP="00B22F51">
      <w:pPr>
        <w:pStyle w:val="Default"/>
        <w:rPr>
          <w:b/>
          <w:color w:val="auto"/>
          <w:sz w:val="22"/>
          <w:szCs w:val="22"/>
        </w:rPr>
      </w:pPr>
      <w:r w:rsidRPr="00B22F51">
        <w:rPr>
          <w:b/>
          <w:sz w:val="22"/>
          <w:szCs w:val="22"/>
        </w:rPr>
        <w:t>Verbot von Pauschalen</w:t>
      </w:r>
    </w:p>
    <w:p w:rsidR="00B22F51" w:rsidRDefault="00B22F51" w:rsidP="00EB770F">
      <w:pPr>
        <w:numPr>
          <w:ilvl w:val="0"/>
          <w:numId w:val="8"/>
        </w:numPr>
        <w:autoSpaceDE w:val="0"/>
        <w:autoSpaceDN w:val="0"/>
        <w:adjustRightInd w:val="0"/>
        <w:ind w:right="72"/>
        <w:jc w:val="both"/>
        <w:rPr>
          <w:rFonts w:cs="Arial"/>
          <w:color w:val="000000"/>
        </w:rPr>
      </w:pPr>
      <w:r w:rsidRPr="00B22F51">
        <w:rPr>
          <w:rFonts w:cs="Arial"/>
          <w:color w:val="000000"/>
        </w:rPr>
        <w:t xml:space="preserve">Eine Abrechnung von Verwaltungs-, Gemein- und/oder Personalausgaben über eine generelle Pauschale ist nicht zulässig. Es werden nur tatsächlich getätigte Ausgaben als förderfähig anerkannt. Diese müssen anhand von Einzelbelegen nachgewiesen werden. Eine Pauschale kann somit weder prozentual zur Fördersumme noch pro Person zur Geltung kommen. </w:t>
      </w:r>
    </w:p>
    <w:p w:rsidR="00B22F51" w:rsidRPr="00B22F51" w:rsidRDefault="00B22F51" w:rsidP="001B5058">
      <w:pPr>
        <w:numPr>
          <w:ilvl w:val="0"/>
          <w:numId w:val="8"/>
        </w:numPr>
        <w:autoSpaceDE w:val="0"/>
        <w:autoSpaceDN w:val="0"/>
        <w:adjustRightInd w:val="0"/>
        <w:jc w:val="both"/>
        <w:rPr>
          <w:rFonts w:cs="Arial"/>
          <w:color w:val="000000"/>
        </w:rPr>
      </w:pPr>
      <w:r w:rsidRPr="00B22F51">
        <w:rPr>
          <w:rFonts w:cs="Arial"/>
          <w:color w:val="000000"/>
        </w:rPr>
        <w:t>Zur Abrechnung von anteiligen projektbezogenen Sachausgaben sol</w:t>
      </w:r>
      <w:r w:rsidR="001B5058">
        <w:rPr>
          <w:rFonts w:cs="Arial"/>
          <w:color w:val="000000"/>
        </w:rPr>
        <w:t xml:space="preserve">lte ein </w:t>
      </w:r>
      <w:r w:rsidRPr="00B22F51">
        <w:rPr>
          <w:rFonts w:cs="Arial"/>
          <w:color w:val="000000"/>
        </w:rPr>
        <w:t xml:space="preserve">nachvollziehbarer Umlageschlüssel auf der Grundlage der Ist-Kosten herangezogen werden (z. B. Strom, Telefon, Kopierkosten etc.). </w:t>
      </w:r>
    </w:p>
    <w:p w:rsidR="00B360EC" w:rsidRPr="00B360EC" w:rsidRDefault="00B22F51" w:rsidP="00B360EC">
      <w:pPr>
        <w:numPr>
          <w:ilvl w:val="0"/>
          <w:numId w:val="8"/>
        </w:numPr>
        <w:autoSpaceDE w:val="0"/>
        <w:autoSpaceDN w:val="0"/>
        <w:adjustRightInd w:val="0"/>
        <w:ind w:right="-108"/>
        <w:jc w:val="both"/>
        <w:rPr>
          <w:rFonts w:cs="Arial"/>
          <w:color w:val="000000"/>
        </w:rPr>
      </w:pPr>
      <w:r w:rsidRPr="00B22F51">
        <w:rPr>
          <w:rFonts w:cs="Arial"/>
          <w:color w:val="000000"/>
        </w:rPr>
        <w:t>Dieser Umlageschlüssel entbindet nicht von einer Nachweispflicht, d. h. es muss ein entsprechender Ausgabebeleg (wenn auch nicht in dieser Höhe) vorliegen, also z. B. eine Gesamt- Telefon- oder Stromrechnung des Einzelprojekt</w:t>
      </w:r>
      <w:r w:rsidR="00217953">
        <w:rPr>
          <w:rFonts w:cs="Arial"/>
          <w:color w:val="000000"/>
        </w:rPr>
        <w:t>t</w:t>
      </w:r>
      <w:r w:rsidRPr="00B22F51">
        <w:rPr>
          <w:rFonts w:cs="Arial"/>
          <w:color w:val="000000"/>
        </w:rPr>
        <w:t xml:space="preserve">rägers. </w:t>
      </w:r>
    </w:p>
    <w:p w:rsidR="00B360EC" w:rsidRDefault="00B360EC" w:rsidP="00B360EC">
      <w:pPr>
        <w:autoSpaceDE w:val="0"/>
        <w:autoSpaceDN w:val="0"/>
        <w:adjustRightInd w:val="0"/>
        <w:ind w:left="720" w:right="-108"/>
        <w:jc w:val="both"/>
        <w:rPr>
          <w:rFonts w:cs="Arial"/>
          <w:color w:val="000000"/>
        </w:rPr>
      </w:pPr>
    </w:p>
    <w:p w:rsidR="0093076D" w:rsidRDefault="0093076D" w:rsidP="00B22F51">
      <w:pPr>
        <w:rPr>
          <w:b/>
          <w:u w:val="single"/>
        </w:rPr>
      </w:pPr>
    </w:p>
    <w:p w:rsidR="0069565A" w:rsidRDefault="00B22F51" w:rsidP="00B22F51">
      <w:pPr>
        <w:rPr>
          <w:b/>
        </w:rPr>
      </w:pPr>
      <w:r w:rsidRPr="00B22F51">
        <w:rPr>
          <w:b/>
        </w:rPr>
        <w:t>Vergabe von Aufträgen</w:t>
      </w:r>
    </w:p>
    <w:p w:rsidR="00C25DBD" w:rsidRDefault="0069565A" w:rsidP="00EB770F">
      <w:pPr>
        <w:numPr>
          <w:ilvl w:val="0"/>
          <w:numId w:val="10"/>
        </w:numPr>
        <w:autoSpaceDE w:val="0"/>
        <w:autoSpaceDN w:val="0"/>
        <w:adjustRightInd w:val="0"/>
        <w:ind w:right="72"/>
        <w:jc w:val="both"/>
        <w:rPr>
          <w:rFonts w:cs="Arial"/>
          <w:color w:val="000000"/>
        </w:rPr>
      </w:pPr>
      <w:r w:rsidRPr="0069565A">
        <w:rPr>
          <w:rFonts w:cs="Arial"/>
          <w:color w:val="000000"/>
        </w:rPr>
        <w:t>Bei der Vergabe von Liefer- und Dienst</w:t>
      </w:r>
      <w:r w:rsidR="006D0D48">
        <w:rPr>
          <w:rFonts w:cs="Arial"/>
          <w:color w:val="000000"/>
        </w:rPr>
        <w:t>leistungen sowie freiberuflichen</w:t>
      </w:r>
      <w:r w:rsidRPr="0069565A">
        <w:rPr>
          <w:rFonts w:cs="Arial"/>
          <w:color w:val="000000"/>
        </w:rPr>
        <w:t xml:space="preserve"> Leistungen sind folgende Vorgaben zu beachten:</w:t>
      </w:r>
    </w:p>
    <w:p w:rsidR="0069565A" w:rsidRPr="0069565A" w:rsidRDefault="0069565A" w:rsidP="007219F0">
      <w:pPr>
        <w:numPr>
          <w:ilvl w:val="0"/>
          <w:numId w:val="14"/>
        </w:numPr>
        <w:jc w:val="both"/>
        <w:rPr>
          <w:szCs w:val="24"/>
        </w:rPr>
      </w:pPr>
      <w:r w:rsidRPr="0069565A">
        <w:rPr>
          <w:szCs w:val="24"/>
        </w:rPr>
        <w:t>Leistungen mit einem geschätzten Netto-Auftragswert</w:t>
      </w:r>
      <w:r>
        <w:rPr>
          <w:szCs w:val="24"/>
        </w:rPr>
        <w:t xml:space="preserve"> </w:t>
      </w:r>
      <w:r w:rsidRPr="0069565A">
        <w:rPr>
          <w:szCs w:val="24"/>
        </w:rPr>
        <w:t>(ohne MwSt.)</w:t>
      </w:r>
      <w:r>
        <w:rPr>
          <w:szCs w:val="24"/>
        </w:rPr>
        <w:t xml:space="preserve"> </w:t>
      </w:r>
      <w:r w:rsidR="006D0D48">
        <w:rPr>
          <w:b/>
          <w:szCs w:val="24"/>
        </w:rPr>
        <w:t>von bis zu 1.0</w:t>
      </w:r>
      <w:r w:rsidRPr="0069565A">
        <w:rPr>
          <w:b/>
          <w:szCs w:val="24"/>
        </w:rPr>
        <w:t>00,00 €</w:t>
      </w:r>
      <w:r w:rsidRPr="0069565A">
        <w:rPr>
          <w:szCs w:val="24"/>
        </w:rPr>
        <w:t xml:space="preserve"> können ohne ein Vergabeverfahren beschafft werden (Direktkauf).</w:t>
      </w:r>
      <w:r w:rsidR="006D0D48">
        <w:rPr>
          <w:szCs w:val="24"/>
        </w:rPr>
        <w:t xml:space="preserve"> Es gelten die Haushaltsgrundsätze der Wirtschaftlichkeit und Sparsamkeit sowie der Grundsatz, dass zwischen den beauftragten Unternehmen gewechselt werden soll.</w:t>
      </w:r>
      <w:r w:rsidR="007219F0">
        <w:rPr>
          <w:szCs w:val="24"/>
        </w:rPr>
        <w:t xml:space="preserve"> </w:t>
      </w:r>
      <w:r w:rsidR="007219F0" w:rsidRPr="007219F0">
        <w:rPr>
          <w:szCs w:val="24"/>
        </w:rPr>
        <w:t>Über die Beschaffung der Leistung/en ist ein kurzer Vermerk anzufertigen, in dem die Beachtung des Grundsatzes der Wirtschaftlichkeit und Sparsamkeit bestätigt wird.</w:t>
      </w:r>
    </w:p>
    <w:p w:rsidR="00B22F51" w:rsidRPr="007219F0" w:rsidRDefault="0069565A" w:rsidP="007219F0">
      <w:pPr>
        <w:numPr>
          <w:ilvl w:val="0"/>
          <w:numId w:val="14"/>
        </w:numPr>
        <w:jc w:val="both"/>
        <w:rPr>
          <w:szCs w:val="24"/>
        </w:rPr>
      </w:pPr>
      <w:r w:rsidRPr="0069565A">
        <w:rPr>
          <w:szCs w:val="24"/>
        </w:rPr>
        <w:t xml:space="preserve">Wenn der geschätzte Netto-Auftragswert </w:t>
      </w:r>
      <w:r w:rsidR="006D0D48">
        <w:rPr>
          <w:b/>
          <w:szCs w:val="24"/>
        </w:rPr>
        <w:t>über 1.0</w:t>
      </w:r>
      <w:r w:rsidRPr="0069565A">
        <w:rPr>
          <w:b/>
          <w:szCs w:val="24"/>
        </w:rPr>
        <w:t>00,00 €</w:t>
      </w:r>
      <w:r w:rsidRPr="0069565A">
        <w:rPr>
          <w:szCs w:val="24"/>
        </w:rPr>
        <w:t xml:space="preserve"> liegt, sind grundsätzlich </w:t>
      </w:r>
      <w:r w:rsidRPr="0069565A">
        <w:rPr>
          <w:szCs w:val="24"/>
          <w:u w:val="single"/>
        </w:rPr>
        <w:t>mindestens drei schriftliche Angebote</w:t>
      </w:r>
      <w:r w:rsidRPr="0069565A">
        <w:rPr>
          <w:szCs w:val="24"/>
        </w:rPr>
        <w:t xml:space="preserve"> einzuholen.</w:t>
      </w:r>
      <w:r w:rsidR="007219F0">
        <w:rPr>
          <w:szCs w:val="24"/>
        </w:rPr>
        <w:t xml:space="preserve"> </w:t>
      </w:r>
      <w:r w:rsidR="007219F0" w:rsidRPr="007219F0">
        <w:rPr>
          <w:rFonts w:cs="Arial"/>
          <w:color w:val="000000"/>
        </w:rPr>
        <w:t xml:space="preserve">Die Vergabeentscheidung ist in jedem Fall in dem Formular „Vergabedokumentation gem. § 6 UVgO“ zu dokumentieren. </w:t>
      </w:r>
      <w:r w:rsidR="00337F10" w:rsidRPr="007219F0">
        <w:rPr>
          <w:rFonts w:cs="Arial"/>
          <w:color w:val="000000"/>
        </w:rPr>
        <w:t>Sollten nicht mindestens drei Angebote eingeholt werden können, ist dies im</w:t>
      </w:r>
      <w:r w:rsidR="006D0D48" w:rsidRPr="007219F0">
        <w:rPr>
          <w:rFonts w:cs="Arial"/>
          <w:color w:val="000000"/>
        </w:rPr>
        <w:t xml:space="preserve"> vorgenannten</w:t>
      </w:r>
      <w:r w:rsidR="00337F10" w:rsidRPr="007219F0">
        <w:rPr>
          <w:rFonts w:cs="Arial"/>
          <w:color w:val="000000"/>
        </w:rPr>
        <w:t xml:space="preserve"> Vergabevermerk gesondert zu begründen.</w:t>
      </w:r>
    </w:p>
    <w:p w:rsidR="00337F10" w:rsidRPr="00EB770F" w:rsidRDefault="00337F10" w:rsidP="00EB770F">
      <w:pPr>
        <w:numPr>
          <w:ilvl w:val="0"/>
          <w:numId w:val="10"/>
        </w:numPr>
        <w:jc w:val="both"/>
        <w:rPr>
          <w:b/>
        </w:rPr>
      </w:pPr>
      <w:r>
        <w:rPr>
          <w:rFonts w:cs="Arial"/>
          <w:color w:val="000000"/>
        </w:rPr>
        <w:t xml:space="preserve">Die </w:t>
      </w:r>
      <w:r w:rsidRPr="00337F10">
        <w:rPr>
          <w:rFonts w:cs="Arial"/>
          <w:color w:val="000000"/>
          <w:u w:val="single"/>
        </w:rPr>
        <w:t>Teilung des Auftrages</w:t>
      </w:r>
      <w:r>
        <w:rPr>
          <w:rFonts w:cs="Arial"/>
          <w:color w:val="000000"/>
        </w:rPr>
        <w:t xml:space="preserve"> in mehrere Vergaben ist </w:t>
      </w:r>
      <w:r w:rsidRPr="00337F10">
        <w:rPr>
          <w:rFonts w:cs="Arial"/>
          <w:color w:val="000000"/>
          <w:u w:val="single"/>
        </w:rPr>
        <w:t>unzulässig</w:t>
      </w:r>
      <w:r>
        <w:rPr>
          <w:rFonts w:cs="Arial"/>
          <w:color w:val="000000"/>
        </w:rPr>
        <w:t>, wenn damit der Zweck verfolgt wird, die genannten Höchstwerte zu unterschreiten.</w:t>
      </w:r>
    </w:p>
    <w:p w:rsidR="00EB770F" w:rsidRPr="00295807" w:rsidRDefault="00EB770F" w:rsidP="00EB770F">
      <w:pPr>
        <w:numPr>
          <w:ilvl w:val="0"/>
          <w:numId w:val="10"/>
        </w:numPr>
        <w:jc w:val="both"/>
        <w:rPr>
          <w:b/>
        </w:rPr>
      </w:pPr>
      <w:r>
        <w:rPr>
          <w:rFonts w:cs="Arial"/>
          <w:color w:val="000000"/>
        </w:rPr>
        <w:t>Im Übrigen wird auf das Merkblatt zu der Vergabe von Leistungen</w:t>
      </w:r>
      <w:r w:rsidR="006D0D48">
        <w:rPr>
          <w:rFonts w:cs="Arial"/>
          <w:color w:val="000000"/>
        </w:rPr>
        <w:t xml:space="preserve"> bei Zuwendungen unter 100.000 Euro (Stand 26.07.2018</w:t>
      </w:r>
      <w:r>
        <w:rPr>
          <w:rFonts w:cs="Arial"/>
          <w:color w:val="000000"/>
        </w:rPr>
        <w:t>) verwiesen</w:t>
      </w:r>
      <w:r w:rsidR="005A2A39">
        <w:rPr>
          <w:rFonts w:cs="Arial"/>
          <w:color w:val="000000"/>
        </w:rPr>
        <w:t>.</w:t>
      </w:r>
    </w:p>
    <w:p w:rsidR="00295807" w:rsidRDefault="00295807" w:rsidP="00EB770F">
      <w:pPr>
        <w:jc w:val="both"/>
        <w:rPr>
          <w:rFonts w:cs="Arial"/>
          <w:color w:val="000000"/>
        </w:rPr>
      </w:pPr>
    </w:p>
    <w:p w:rsidR="0093076D" w:rsidRDefault="0093076D" w:rsidP="00295807">
      <w:pPr>
        <w:rPr>
          <w:rFonts w:cs="Arial"/>
          <w:color w:val="000000"/>
        </w:rPr>
      </w:pPr>
    </w:p>
    <w:p w:rsidR="00295807" w:rsidRPr="00B3277E" w:rsidRDefault="00295807" w:rsidP="00295807">
      <w:pPr>
        <w:rPr>
          <w:rFonts w:cs="Arial"/>
          <w:b/>
          <w:color w:val="000000"/>
        </w:rPr>
      </w:pPr>
      <w:r w:rsidRPr="00B3277E">
        <w:rPr>
          <w:rFonts w:cs="Arial"/>
          <w:b/>
          <w:color w:val="000000"/>
        </w:rPr>
        <w:t>Personalausgaben</w:t>
      </w:r>
    </w:p>
    <w:p w:rsidR="00B3277E" w:rsidRPr="00B3277E" w:rsidRDefault="00B3277E" w:rsidP="00EB770F">
      <w:pPr>
        <w:numPr>
          <w:ilvl w:val="0"/>
          <w:numId w:val="11"/>
        </w:numPr>
        <w:jc w:val="both"/>
        <w:rPr>
          <w:b/>
        </w:rPr>
      </w:pPr>
      <w:r>
        <w:t xml:space="preserve">Abgegrenzte Personalausgaben können auch anteilig bei Einzelprojektträgern anerkannt </w:t>
      </w:r>
      <w:r w:rsidR="000B0C37">
        <w:t>werden, nachgewiesen durch eine</w:t>
      </w:r>
      <w:r>
        <w:t xml:space="preserve"> Aufstellung der im Projekt geleisteten Tätigkeiten (Stundennachweis). </w:t>
      </w:r>
    </w:p>
    <w:p w:rsidR="00B3277E" w:rsidRPr="00B3277E" w:rsidRDefault="00B3277E" w:rsidP="00EB770F">
      <w:pPr>
        <w:numPr>
          <w:ilvl w:val="0"/>
          <w:numId w:val="11"/>
        </w:numPr>
        <w:jc w:val="both"/>
        <w:rPr>
          <w:b/>
        </w:rPr>
      </w:pPr>
      <w:r>
        <w:t>Eine Abrechnung ist auf Basis dieses Stundennachweises und den entsprechenden Gehaltsbelegen durchzuführen (förderfähig ist der entsprechende Anteil am „Arbeitgeberbrutto“).</w:t>
      </w:r>
    </w:p>
    <w:p w:rsidR="00D41EF8" w:rsidRDefault="00D41EF8" w:rsidP="00B3277E"/>
    <w:p w:rsidR="00D41EF8" w:rsidRDefault="00D41EF8" w:rsidP="00B3277E"/>
    <w:p w:rsidR="00182EE0" w:rsidRDefault="00182EE0" w:rsidP="00B3277E"/>
    <w:p w:rsidR="00182EE0" w:rsidRPr="0074788E" w:rsidRDefault="00182EE0" w:rsidP="0074788E">
      <w:pPr>
        <w:jc w:val="both"/>
        <w:rPr>
          <w:b/>
        </w:rPr>
      </w:pPr>
      <w:r w:rsidRPr="00B360EC">
        <w:rPr>
          <w:b/>
        </w:rPr>
        <w:lastRenderedPageBreak/>
        <w:t>Veröffentlichungen</w:t>
      </w:r>
      <w:r>
        <w:rPr>
          <w:b/>
        </w:rPr>
        <w:t>/Druckerzeugnisse</w:t>
      </w:r>
    </w:p>
    <w:p w:rsidR="00C43BE6" w:rsidRDefault="00C43BE6" w:rsidP="00C43BE6">
      <w:pPr>
        <w:numPr>
          <w:ilvl w:val="0"/>
          <w:numId w:val="8"/>
        </w:numPr>
        <w:autoSpaceDE w:val="0"/>
        <w:autoSpaceDN w:val="0"/>
        <w:adjustRightInd w:val="0"/>
        <w:ind w:right="-108"/>
        <w:jc w:val="both"/>
        <w:rPr>
          <w:rFonts w:cs="Arial"/>
          <w:color w:val="000000"/>
        </w:rPr>
      </w:pPr>
      <w:r>
        <w:rPr>
          <w:rFonts w:cs="Arial"/>
          <w:color w:val="000000"/>
        </w:rPr>
        <w:t>Unter Veröffentlichungen sind alle Texte und Materialien mit Bezug zum Bundesprogramm zu verstehen, die einer allgemeinen Öffentlichkeit oder aber auch einer Fachöffentlichkeit zur Verfügung gestellt werden.</w:t>
      </w:r>
    </w:p>
    <w:p w:rsidR="00C43BE6" w:rsidRDefault="00C43BE6" w:rsidP="00C43BE6">
      <w:pPr>
        <w:autoSpaceDE w:val="0"/>
        <w:autoSpaceDN w:val="0"/>
        <w:adjustRightInd w:val="0"/>
        <w:ind w:left="720" w:right="-108"/>
        <w:jc w:val="both"/>
        <w:rPr>
          <w:rFonts w:cs="Arial"/>
          <w:color w:val="000000"/>
        </w:rPr>
      </w:pPr>
    </w:p>
    <w:p w:rsidR="00C43BE6" w:rsidRDefault="00C43BE6" w:rsidP="00C43BE6">
      <w:pPr>
        <w:autoSpaceDE w:val="0"/>
        <w:autoSpaceDN w:val="0"/>
        <w:adjustRightInd w:val="0"/>
        <w:ind w:left="720" w:right="-108"/>
        <w:jc w:val="both"/>
        <w:rPr>
          <w:rFonts w:cs="Arial"/>
          <w:color w:val="000000"/>
        </w:rPr>
      </w:pPr>
      <w:r>
        <w:rPr>
          <w:rFonts w:cs="Arial"/>
          <w:color w:val="000000"/>
        </w:rPr>
        <w:t>Umfasst sind unter anderem alle Arten an:</w:t>
      </w:r>
    </w:p>
    <w:p w:rsidR="00C43BE6" w:rsidRDefault="00C43BE6" w:rsidP="00C43BE6">
      <w:pPr>
        <w:numPr>
          <w:ilvl w:val="0"/>
          <w:numId w:val="17"/>
        </w:numPr>
        <w:autoSpaceDE w:val="0"/>
        <w:autoSpaceDN w:val="0"/>
        <w:adjustRightInd w:val="0"/>
        <w:ind w:right="-108"/>
        <w:jc w:val="both"/>
      </w:pPr>
      <w:r w:rsidRPr="00107FE0">
        <w:t>Drucksachen</w:t>
      </w:r>
    </w:p>
    <w:p w:rsidR="00C43BE6" w:rsidRDefault="00C43BE6" w:rsidP="00C43BE6">
      <w:pPr>
        <w:numPr>
          <w:ilvl w:val="0"/>
          <w:numId w:val="17"/>
        </w:numPr>
        <w:autoSpaceDE w:val="0"/>
        <w:autoSpaceDN w:val="0"/>
        <w:adjustRightInd w:val="0"/>
        <w:ind w:right="-108"/>
        <w:jc w:val="both"/>
      </w:pPr>
      <w:r>
        <w:t>Werbematerialien</w:t>
      </w:r>
    </w:p>
    <w:p w:rsidR="00C43BE6" w:rsidRDefault="00C43BE6" w:rsidP="00C43BE6">
      <w:pPr>
        <w:numPr>
          <w:ilvl w:val="0"/>
          <w:numId w:val="17"/>
        </w:numPr>
        <w:autoSpaceDE w:val="0"/>
        <w:autoSpaceDN w:val="0"/>
        <w:adjustRightInd w:val="0"/>
        <w:ind w:right="-108"/>
        <w:jc w:val="both"/>
      </w:pPr>
      <w:r>
        <w:t>Einladungen und Veranstaltungsankündigungen</w:t>
      </w:r>
    </w:p>
    <w:p w:rsidR="00C43BE6" w:rsidRDefault="00C43BE6" w:rsidP="00C43BE6">
      <w:pPr>
        <w:numPr>
          <w:ilvl w:val="0"/>
          <w:numId w:val="17"/>
        </w:numPr>
        <w:autoSpaceDE w:val="0"/>
        <w:autoSpaceDN w:val="0"/>
        <w:adjustRightInd w:val="0"/>
        <w:ind w:right="-108"/>
        <w:jc w:val="both"/>
      </w:pPr>
      <w:r>
        <w:t>Workshopmaterialien, die den Teilnehmer*innen zur Verfügung gestellt werden</w:t>
      </w:r>
    </w:p>
    <w:p w:rsidR="00C43BE6" w:rsidRDefault="00C43BE6" w:rsidP="00C43BE6">
      <w:pPr>
        <w:numPr>
          <w:ilvl w:val="0"/>
          <w:numId w:val="17"/>
        </w:numPr>
        <w:autoSpaceDE w:val="0"/>
        <w:autoSpaceDN w:val="0"/>
        <w:adjustRightInd w:val="0"/>
        <w:ind w:right="-108"/>
        <w:jc w:val="both"/>
      </w:pPr>
      <w:r>
        <w:t>elektronische Medien</w:t>
      </w:r>
    </w:p>
    <w:p w:rsidR="00C43BE6" w:rsidRDefault="00C43BE6" w:rsidP="00C43BE6">
      <w:pPr>
        <w:numPr>
          <w:ilvl w:val="0"/>
          <w:numId w:val="17"/>
        </w:numPr>
        <w:autoSpaceDE w:val="0"/>
        <w:autoSpaceDN w:val="0"/>
        <w:adjustRightInd w:val="0"/>
        <w:ind w:right="-108"/>
        <w:jc w:val="both"/>
      </w:pPr>
      <w:r>
        <w:t>Pressemitteilungen und Presseinterviews</w:t>
      </w:r>
    </w:p>
    <w:p w:rsidR="00C43BE6" w:rsidRDefault="00C43BE6" w:rsidP="00C43BE6">
      <w:pPr>
        <w:numPr>
          <w:ilvl w:val="0"/>
          <w:numId w:val="17"/>
        </w:numPr>
        <w:autoSpaceDE w:val="0"/>
        <w:autoSpaceDN w:val="0"/>
        <w:adjustRightInd w:val="0"/>
        <w:ind w:right="-108"/>
        <w:jc w:val="both"/>
      </w:pPr>
      <w:r>
        <w:t>Internetseiten</w:t>
      </w:r>
    </w:p>
    <w:p w:rsidR="00C43BE6" w:rsidRDefault="00C43BE6" w:rsidP="00C43BE6">
      <w:pPr>
        <w:numPr>
          <w:ilvl w:val="0"/>
          <w:numId w:val="17"/>
        </w:numPr>
        <w:autoSpaceDE w:val="0"/>
        <w:autoSpaceDN w:val="0"/>
        <w:adjustRightInd w:val="0"/>
        <w:ind w:right="-108"/>
        <w:jc w:val="both"/>
      </w:pPr>
      <w:r>
        <w:t>Etc.</w:t>
      </w:r>
    </w:p>
    <w:p w:rsidR="00C43BE6" w:rsidRPr="00107FE0" w:rsidRDefault="00C43BE6" w:rsidP="00C43BE6">
      <w:pPr>
        <w:autoSpaceDE w:val="0"/>
        <w:autoSpaceDN w:val="0"/>
        <w:adjustRightInd w:val="0"/>
        <w:ind w:right="-108"/>
        <w:jc w:val="both"/>
      </w:pPr>
    </w:p>
    <w:p w:rsidR="0074788E" w:rsidRDefault="0074788E" w:rsidP="0074788E">
      <w:pPr>
        <w:numPr>
          <w:ilvl w:val="0"/>
          <w:numId w:val="8"/>
        </w:numPr>
        <w:autoSpaceDE w:val="0"/>
        <w:autoSpaceDN w:val="0"/>
        <w:adjustRightInd w:val="0"/>
        <w:ind w:right="-108"/>
        <w:jc w:val="both"/>
        <w:rPr>
          <w:rFonts w:cs="Arial"/>
          <w:color w:val="000000"/>
        </w:rPr>
      </w:pPr>
      <w:r w:rsidRPr="0074788E">
        <w:rPr>
          <w:rFonts w:cs="Arial"/>
          <w:color w:val="000000"/>
        </w:rPr>
        <w:t xml:space="preserve">Bei Veröffentlichungen und Verlautbarungen aller Art ist in geeigneter Form auf die Förderung der Maßnahme </w:t>
      </w:r>
      <w:r>
        <w:rPr>
          <w:rFonts w:cs="Arial"/>
          <w:color w:val="000000"/>
        </w:rPr>
        <w:t>durch das</w:t>
      </w:r>
      <w:r w:rsidRPr="0074788E">
        <w:t xml:space="preserve"> </w:t>
      </w:r>
      <w:r w:rsidRPr="0074788E">
        <w:rPr>
          <w:rFonts w:cs="Arial"/>
          <w:color w:val="000000"/>
        </w:rPr>
        <w:t>Bundesministerium für Familie, Senioren, Frauen und Jugend</w:t>
      </w:r>
      <w:r>
        <w:rPr>
          <w:rFonts w:cs="Arial"/>
          <w:color w:val="000000"/>
        </w:rPr>
        <w:t xml:space="preserve"> (BMFSFJ) sowie den Frei</w:t>
      </w:r>
      <w:r w:rsidRPr="0074788E">
        <w:rPr>
          <w:rFonts w:cs="Arial"/>
          <w:color w:val="000000"/>
        </w:rPr>
        <w:t xml:space="preserve">staat Sachsen unter Verwendung der Logos des BMFSFJ, </w:t>
      </w:r>
      <w:r>
        <w:rPr>
          <w:rFonts w:cs="Arial"/>
          <w:color w:val="000000"/>
        </w:rPr>
        <w:t xml:space="preserve">des </w:t>
      </w:r>
      <w:r w:rsidRPr="0074788E">
        <w:rPr>
          <w:rFonts w:cs="Arial"/>
          <w:color w:val="000000"/>
        </w:rPr>
        <w:t xml:space="preserve">Bundesprogramms „Demokratie leben!“ sowie des Landespräventionsrat Sachsen </w:t>
      </w:r>
      <w:r>
        <w:rPr>
          <w:rFonts w:cs="Arial"/>
          <w:color w:val="000000"/>
        </w:rPr>
        <w:t>(</w:t>
      </w:r>
      <w:r w:rsidRPr="0074788E">
        <w:rPr>
          <w:rFonts w:cs="Arial"/>
          <w:color w:val="000000"/>
        </w:rPr>
        <w:t>LPR</w:t>
      </w:r>
      <w:r>
        <w:rPr>
          <w:rFonts w:cs="Arial"/>
          <w:color w:val="000000"/>
        </w:rPr>
        <w:t>)</w:t>
      </w:r>
      <w:r w:rsidRPr="0074788E">
        <w:rPr>
          <w:rFonts w:cs="Arial"/>
          <w:color w:val="000000"/>
        </w:rPr>
        <w:t xml:space="preserve"> mit dem Schriftsatz „Diese Maßnahme wird mitfinanziert mit Steuermitteln auf Grundlage des von den Abgeordne</w:t>
      </w:r>
      <w:r>
        <w:rPr>
          <w:rFonts w:cs="Arial"/>
          <w:color w:val="000000"/>
        </w:rPr>
        <w:t>ten des Sächsischen Landtags be</w:t>
      </w:r>
      <w:r w:rsidRPr="0074788E">
        <w:rPr>
          <w:rFonts w:cs="Arial"/>
          <w:color w:val="000000"/>
        </w:rPr>
        <w:t xml:space="preserve">schlossenen Haushaltes“ hinzuweisen. Die Logokombination wird in elektronischer Form durch das federführende Amt zur Verfügung gestellt. </w:t>
      </w:r>
    </w:p>
    <w:p w:rsidR="00C43BE6" w:rsidRDefault="0074788E" w:rsidP="0074788E">
      <w:pPr>
        <w:numPr>
          <w:ilvl w:val="0"/>
          <w:numId w:val="8"/>
        </w:numPr>
        <w:autoSpaceDE w:val="0"/>
        <w:autoSpaceDN w:val="0"/>
        <w:adjustRightInd w:val="0"/>
        <w:ind w:right="-108"/>
        <w:jc w:val="both"/>
        <w:rPr>
          <w:rFonts w:cs="Arial"/>
          <w:color w:val="000000"/>
        </w:rPr>
      </w:pPr>
      <w:r w:rsidRPr="0074788E">
        <w:rPr>
          <w:rFonts w:cs="Arial"/>
          <w:color w:val="000000"/>
        </w:rPr>
        <w:t>Bei solchen Veröffentlichungen und Verlautbarungen, die eine Meinungsäußerung enthalten, ist folgender Zusatz aufzunehmen: „Die Veröffentlichungen stellen keine Meinungsäußerung des BMFSFJ bzw. des BAFzA dar. Für inhaltliche Aussagen trägt die/der Autor*in bzw. tragen die Autor*innen die Verantwortung.“</w:t>
      </w:r>
    </w:p>
    <w:p w:rsidR="0074788E" w:rsidRDefault="00DA7C48" w:rsidP="0074788E">
      <w:pPr>
        <w:numPr>
          <w:ilvl w:val="0"/>
          <w:numId w:val="8"/>
        </w:numPr>
        <w:autoSpaceDE w:val="0"/>
        <w:autoSpaceDN w:val="0"/>
        <w:adjustRightInd w:val="0"/>
        <w:ind w:right="-108"/>
        <w:jc w:val="both"/>
        <w:rPr>
          <w:rFonts w:cs="Arial"/>
          <w:color w:val="000000"/>
        </w:rPr>
      </w:pPr>
      <w:r>
        <w:rPr>
          <w:rFonts w:cs="Arial"/>
          <w:color w:val="000000"/>
        </w:rPr>
        <w:t>D</w:t>
      </w:r>
      <w:r w:rsidR="008A4CF9">
        <w:rPr>
          <w:rFonts w:cs="Arial"/>
          <w:color w:val="000000"/>
        </w:rPr>
        <w:t>ie Projektträger</w:t>
      </w:r>
      <w:r w:rsidR="00762E18">
        <w:rPr>
          <w:rFonts w:cs="Arial"/>
          <w:color w:val="000000"/>
        </w:rPr>
        <w:t>*innen</w:t>
      </w:r>
      <w:r w:rsidR="008A4CF9">
        <w:rPr>
          <w:rFonts w:cs="Arial"/>
          <w:color w:val="000000"/>
        </w:rPr>
        <w:t xml:space="preserve"> senden ihre Veröffentlichungen </w:t>
      </w:r>
      <w:r w:rsidR="00762E18">
        <w:rPr>
          <w:rFonts w:cs="Arial"/>
          <w:color w:val="000000"/>
        </w:rPr>
        <w:t xml:space="preserve">im Rahmen der Partnerschaft für Demokratie </w:t>
      </w:r>
      <w:r w:rsidR="008A4CF9">
        <w:rPr>
          <w:rFonts w:cs="Arial"/>
          <w:color w:val="000000"/>
        </w:rPr>
        <w:t xml:space="preserve">vor der Veröffentlichung zur Freigabe in elektronischer Form an das federführende Amt. Diese Zusendung soll mit angemessenem </w:t>
      </w:r>
      <w:r w:rsidR="00891E3C">
        <w:rPr>
          <w:rFonts w:cs="Arial"/>
          <w:color w:val="000000"/>
        </w:rPr>
        <w:t>zeitlichem</w:t>
      </w:r>
      <w:r w:rsidR="008A4CF9">
        <w:rPr>
          <w:rFonts w:cs="Arial"/>
          <w:color w:val="000000"/>
        </w:rPr>
        <w:t xml:space="preserve"> Vorlauf vor dem Zeitpunkt der beabsichtigten Verwendung erfolgen. Eine Verwendung der Veröffentlichungsentwürfe ohne vorherige Freigabe ist nicht zulässig.</w:t>
      </w:r>
    </w:p>
    <w:p w:rsidR="00182EE0" w:rsidRDefault="00182EE0" w:rsidP="00B3277E"/>
    <w:p w:rsidR="00182EE0" w:rsidRDefault="00182EE0" w:rsidP="00B3277E"/>
    <w:p w:rsidR="00B3277E" w:rsidRDefault="00B3277E" w:rsidP="00B3277E">
      <w:pPr>
        <w:rPr>
          <w:b/>
        </w:rPr>
      </w:pPr>
      <w:r w:rsidRPr="00B3277E">
        <w:rPr>
          <w:b/>
        </w:rPr>
        <w:t>Nicht förderfähige Ausgaben</w:t>
      </w:r>
    </w:p>
    <w:p w:rsidR="00B3277E" w:rsidRDefault="006D3375" w:rsidP="00EB770F">
      <w:pPr>
        <w:numPr>
          <w:ilvl w:val="0"/>
          <w:numId w:val="12"/>
        </w:numPr>
        <w:autoSpaceDE w:val="0"/>
        <w:autoSpaceDN w:val="0"/>
        <w:adjustRightInd w:val="0"/>
        <w:jc w:val="both"/>
        <w:rPr>
          <w:rFonts w:cs="Arial"/>
          <w:color w:val="000000"/>
        </w:rPr>
      </w:pPr>
      <w:r>
        <w:rPr>
          <w:rFonts w:cs="Arial"/>
          <w:color w:val="000000"/>
        </w:rPr>
        <w:t>Zinsausgaben</w:t>
      </w:r>
      <w:r w:rsidR="00B3277E" w:rsidRPr="00B3277E">
        <w:rPr>
          <w:rFonts w:cs="Arial"/>
          <w:color w:val="000000"/>
        </w:rPr>
        <w:t xml:space="preserve"> </w:t>
      </w:r>
    </w:p>
    <w:p w:rsidR="00B3277E" w:rsidRPr="00B3277E" w:rsidRDefault="00B3277E" w:rsidP="00EB770F">
      <w:pPr>
        <w:numPr>
          <w:ilvl w:val="0"/>
          <w:numId w:val="12"/>
        </w:numPr>
        <w:autoSpaceDE w:val="0"/>
        <w:autoSpaceDN w:val="0"/>
        <w:adjustRightInd w:val="0"/>
        <w:jc w:val="both"/>
        <w:rPr>
          <w:rFonts w:cs="Arial"/>
          <w:color w:val="000000"/>
          <w:sz w:val="16"/>
          <w:szCs w:val="16"/>
        </w:rPr>
      </w:pPr>
      <w:r w:rsidRPr="00B3277E">
        <w:rPr>
          <w:rFonts w:cs="Arial"/>
          <w:color w:val="000000"/>
        </w:rPr>
        <w:t>Anschaffungskosten abschreibungsfähig</w:t>
      </w:r>
      <w:r w:rsidR="00283960">
        <w:rPr>
          <w:rFonts w:cs="Arial"/>
          <w:color w:val="000000"/>
        </w:rPr>
        <w:t>er Wirtschaftsgüter/Investitionen</w:t>
      </w:r>
      <w:r w:rsidRPr="00B3277E">
        <w:rPr>
          <w:rFonts w:cs="Arial"/>
          <w:color w:val="000000"/>
        </w:rPr>
        <w:t xml:space="preserve"> über</w:t>
      </w:r>
      <w:r w:rsidR="004B2F16">
        <w:rPr>
          <w:rFonts w:cs="Arial"/>
          <w:color w:val="000000"/>
        </w:rPr>
        <w:t xml:space="preserve"> 410 Euro netto </w:t>
      </w:r>
      <w:r w:rsidRPr="00B3277E">
        <w:rPr>
          <w:rFonts w:cs="Arial"/>
          <w:color w:val="000000"/>
        </w:rPr>
        <w:t xml:space="preserve"> </w:t>
      </w:r>
    </w:p>
    <w:p w:rsidR="00B3277E" w:rsidRPr="00B3277E" w:rsidRDefault="00B3277E" w:rsidP="00EB770F">
      <w:pPr>
        <w:numPr>
          <w:ilvl w:val="0"/>
          <w:numId w:val="12"/>
        </w:numPr>
        <w:autoSpaceDE w:val="0"/>
        <w:autoSpaceDN w:val="0"/>
        <w:adjustRightInd w:val="0"/>
        <w:jc w:val="both"/>
        <w:rPr>
          <w:rFonts w:cs="Arial"/>
          <w:color w:val="000000"/>
          <w:sz w:val="16"/>
          <w:szCs w:val="16"/>
        </w:rPr>
      </w:pPr>
      <w:r w:rsidRPr="00B3277E">
        <w:rPr>
          <w:rFonts w:cs="Arial"/>
          <w:color w:val="000000"/>
        </w:rPr>
        <w:t>Kautionen, Rückstellungen, Gese</w:t>
      </w:r>
      <w:r w:rsidR="006D3375">
        <w:rPr>
          <w:rFonts w:cs="Arial"/>
          <w:color w:val="000000"/>
        </w:rPr>
        <w:t>llschaftereinlagen, Provisionen</w:t>
      </w:r>
      <w:r w:rsidRPr="00B3277E">
        <w:rPr>
          <w:rFonts w:cs="Arial"/>
          <w:color w:val="000000"/>
        </w:rPr>
        <w:t xml:space="preserve"> </w:t>
      </w:r>
    </w:p>
    <w:p w:rsidR="00B3277E" w:rsidRDefault="00B3277E" w:rsidP="00EB770F">
      <w:pPr>
        <w:numPr>
          <w:ilvl w:val="0"/>
          <w:numId w:val="12"/>
        </w:numPr>
        <w:autoSpaceDE w:val="0"/>
        <w:autoSpaceDN w:val="0"/>
        <w:adjustRightInd w:val="0"/>
        <w:jc w:val="both"/>
        <w:rPr>
          <w:rFonts w:cs="Arial"/>
          <w:color w:val="000000"/>
        </w:rPr>
      </w:pPr>
      <w:r w:rsidRPr="00B3277E">
        <w:rPr>
          <w:rFonts w:cs="Arial"/>
          <w:color w:val="000000"/>
        </w:rPr>
        <w:t xml:space="preserve">allgemeine, nicht projektbezogene Umlagen für Verwaltung </w:t>
      </w:r>
    </w:p>
    <w:p w:rsidR="00B3277E" w:rsidRDefault="00B3277E" w:rsidP="00EB770F">
      <w:pPr>
        <w:numPr>
          <w:ilvl w:val="0"/>
          <w:numId w:val="12"/>
        </w:numPr>
        <w:autoSpaceDE w:val="0"/>
        <w:autoSpaceDN w:val="0"/>
        <w:adjustRightInd w:val="0"/>
        <w:jc w:val="both"/>
        <w:rPr>
          <w:rFonts w:cs="Arial"/>
          <w:color w:val="000000"/>
        </w:rPr>
      </w:pPr>
      <w:r>
        <w:rPr>
          <w:rFonts w:cs="Arial"/>
          <w:color w:val="000000"/>
        </w:rPr>
        <w:t>Einzelprojekte mit de</w:t>
      </w:r>
      <w:r w:rsidR="006D3375">
        <w:rPr>
          <w:rFonts w:cs="Arial"/>
          <w:color w:val="000000"/>
        </w:rPr>
        <w:t>m Projektziel einer Baumaßnahme</w:t>
      </w:r>
    </w:p>
    <w:p w:rsidR="0093076D" w:rsidRDefault="0093076D" w:rsidP="00411BBC">
      <w:pPr>
        <w:autoSpaceDE w:val="0"/>
        <w:autoSpaceDN w:val="0"/>
        <w:adjustRightInd w:val="0"/>
        <w:rPr>
          <w:rFonts w:cs="Arial"/>
          <w:color w:val="000000"/>
        </w:rPr>
      </w:pPr>
    </w:p>
    <w:p w:rsidR="0093076D" w:rsidRDefault="0093076D" w:rsidP="00411BBC">
      <w:pPr>
        <w:autoSpaceDE w:val="0"/>
        <w:autoSpaceDN w:val="0"/>
        <w:adjustRightInd w:val="0"/>
        <w:rPr>
          <w:rFonts w:cs="Arial"/>
          <w:color w:val="000000"/>
        </w:rPr>
      </w:pPr>
    </w:p>
    <w:p w:rsidR="00411BBC" w:rsidRDefault="00411BBC" w:rsidP="00411BBC">
      <w:pPr>
        <w:autoSpaceDE w:val="0"/>
        <w:autoSpaceDN w:val="0"/>
        <w:adjustRightInd w:val="0"/>
        <w:rPr>
          <w:rFonts w:cs="Arial"/>
          <w:b/>
          <w:color w:val="000000"/>
        </w:rPr>
      </w:pPr>
      <w:r w:rsidRPr="00411BBC">
        <w:rPr>
          <w:rFonts w:cs="Arial"/>
          <w:b/>
          <w:color w:val="000000"/>
        </w:rPr>
        <w:t>Allgemeines</w:t>
      </w:r>
    </w:p>
    <w:p w:rsidR="00411BBC" w:rsidRPr="00411BBC" w:rsidRDefault="00411BBC" w:rsidP="00EB770F">
      <w:pPr>
        <w:numPr>
          <w:ilvl w:val="0"/>
          <w:numId w:val="13"/>
        </w:numPr>
        <w:autoSpaceDE w:val="0"/>
        <w:autoSpaceDN w:val="0"/>
        <w:adjustRightInd w:val="0"/>
        <w:jc w:val="both"/>
        <w:rPr>
          <w:rFonts w:cs="Arial"/>
          <w:b/>
          <w:color w:val="000000"/>
        </w:rPr>
      </w:pPr>
      <w:r>
        <w:t>Es gilt der Grundsatz der wirtschaftlichen und sparsamen Mittelverwendung. Rabatte und Skonti sind zu nutzen.</w:t>
      </w:r>
    </w:p>
    <w:p w:rsidR="00411BBC" w:rsidRDefault="00411BBC" w:rsidP="00EB770F">
      <w:pPr>
        <w:numPr>
          <w:ilvl w:val="0"/>
          <w:numId w:val="13"/>
        </w:numPr>
        <w:autoSpaceDE w:val="0"/>
        <w:autoSpaceDN w:val="0"/>
        <w:adjustRightInd w:val="0"/>
        <w:ind w:right="72"/>
        <w:jc w:val="both"/>
        <w:rPr>
          <w:rFonts w:cs="Arial"/>
          <w:color w:val="000000"/>
        </w:rPr>
      </w:pPr>
      <w:r w:rsidRPr="00411BBC">
        <w:rPr>
          <w:rFonts w:cs="Arial"/>
          <w:color w:val="000000"/>
        </w:rPr>
        <w:t xml:space="preserve">Förderfähig sind nur die innerhalb des Bewilligungszeitraums kassenwirksam gewordenen Ausgaben der Einzelprojekte. </w:t>
      </w:r>
    </w:p>
    <w:p w:rsidR="00411BBC" w:rsidRPr="00411BBC" w:rsidRDefault="00411BBC" w:rsidP="00EB770F">
      <w:pPr>
        <w:numPr>
          <w:ilvl w:val="0"/>
          <w:numId w:val="13"/>
        </w:numPr>
        <w:autoSpaceDE w:val="0"/>
        <w:autoSpaceDN w:val="0"/>
        <w:adjustRightInd w:val="0"/>
        <w:ind w:right="72"/>
        <w:jc w:val="both"/>
        <w:rPr>
          <w:rFonts w:cs="Arial"/>
          <w:color w:val="000000"/>
        </w:rPr>
      </w:pPr>
      <w:r>
        <w:t>Der Nachweis ist mittels Rechnungs- und Ausgabebelegen zu erbringen, d.h. aus den Belegen muss erkennbar sein, wann, in welcher Höhe, an welche/n Empfänger</w:t>
      </w:r>
      <w:r w:rsidR="00E55422">
        <w:t>*</w:t>
      </w:r>
      <w:r>
        <w:t xml:space="preserve">in und zu welchem Zweck Fördermittel verausgabt wurden. </w:t>
      </w:r>
    </w:p>
    <w:p w:rsidR="00411BBC" w:rsidRPr="00283FBC" w:rsidRDefault="00411BBC" w:rsidP="00EB770F">
      <w:pPr>
        <w:numPr>
          <w:ilvl w:val="0"/>
          <w:numId w:val="13"/>
        </w:numPr>
        <w:autoSpaceDE w:val="0"/>
        <w:autoSpaceDN w:val="0"/>
        <w:adjustRightInd w:val="0"/>
        <w:ind w:right="72"/>
        <w:jc w:val="both"/>
        <w:rPr>
          <w:rFonts w:cs="Arial"/>
          <w:color w:val="000000"/>
        </w:rPr>
      </w:pPr>
      <w:r>
        <w:t>Belege zum Nachweis sind in der Regel Original-Rechnungen (ggf. mit Angabe der Mehrwertsteuer) und dazugehörige Original-Quittungen bzw. Kopien von Kontoauszügen oder Kontoausdrucken beim Onlinebanking. Der Zusammenhang zwischen Rechnungs- und Ausgabe</w:t>
      </w:r>
      <w:r w:rsidR="002967DD">
        <w:t>beleg muss erkennbar sein.</w:t>
      </w:r>
    </w:p>
    <w:p w:rsidR="00705BAC" w:rsidRDefault="00705BAC" w:rsidP="00705BAC">
      <w:pPr>
        <w:autoSpaceDE w:val="0"/>
        <w:autoSpaceDN w:val="0"/>
        <w:adjustRightInd w:val="0"/>
        <w:ind w:right="72"/>
        <w:rPr>
          <w:b/>
        </w:rPr>
      </w:pPr>
      <w:r>
        <w:rPr>
          <w:b/>
        </w:rPr>
        <w:lastRenderedPageBreak/>
        <w:t>ACHTUNG:</w:t>
      </w:r>
    </w:p>
    <w:p w:rsidR="00705BAC" w:rsidRDefault="00D41EF8" w:rsidP="00EB770F">
      <w:pPr>
        <w:autoSpaceDE w:val="0"/>
        <w:autoSpaceDN w:val="0"/>
        <w:adjustRightInd w:val="0"/>
        <w:ind w:right="72"/>
        <w:jc w:val="both"/>
      </w:pPr>
      <w:r>
        <w:t>D</w:t>
      </w:r>
      <w:r w:rsidR="00104C92">
        <w:t>ie</w:t>
      </w:r>
      <w:r w:rsidR="00705BAC">
        <w:t xml:space="preserve"> </w:t>
      </w:r>
      <w:r w:rsidR="0093076D">
        <w:t>ANBest-P</w:t>
      </w:r>
      <w:r>
        <w:t xml:space="preserve"> Sachsen Nr. 1 bis 7 </w:t>
      </w:r>
      <w:r w:rsidR="007B5FA5" w:rsidRPr="007B5FA5">
        <w:t xml:space="preserve">in der jeweils gültigen Fassung </w:t>
      </w:r>
      <w:r>
        <w:t>sowie die</w:t>
      </w:r>
      <w:r w:rsidRPr="00D41EF8">
        <w:t xml:space="preserve"> </w:t>
      </w:r>
      <w:r>
        <w:t>ANBest-P Bund Nr. 8</w:t>
      </w:r>
      <w:r w:rsidRPr="00D41EF8">
        <w:t xml:space="preserve"> (mit Ausnahme der alsbaldigen Mittelverwendung innerhalb von 6 Wochen)</w:t>
      </w:r>
      <w:r w:rsidR="007B5FA5" w:rsidRPr="007B5FA5">
        <w:t xml:space="preserve"> in der jeweils gültigen Fassung</w:t>
      </w:r>
      <w:r w:rsidR="007B5FA5">
        <w:t xml:space="preserve"> </w:t>
      </w:r>
      <w:r>
        <w:t>sind</w:t>
      </w:r>
      <w:r w:rsidR="00104C92">
        <w:t xml:space="preserve"> </w:t>
      </w:r>
      <w:r>
        <w:t xml:space="preserve">zwingend zu </w:t>
      </w:r>
      <w:r w:rsidR="00104C92">
        <w:t xml:space="preserve">beachten, insbesondere </w:t>
      </w:r>
      <w:r w:rsidR="00104C92" w:rsidRPr="00D23AED">
        <w:rPr>
          <w:b/>
        </w:rPr>
        <w:t>Punkt 1.2.</w:t>
      </w:r>
      <w:r w:rsidR="00104C92">
        <w:t xml:space="preserve"> (Überschreitung Einzelansätze), </w:t>
      </w:r>
      <w:r w:rsidR="00104C92" w:rsidRPr="00D23AED">
        <w:rPr>
          <w:b/>
        </w:rPr>
        <w:t>Punkt 2</w:t>
      </w:r>
      <w:r w:rsidR="0036300C">
        <w:t xml:space="preserve"> (nachträgliche Ä</w:t>
      </w:r>
      <w:r w:rsidR="00104C92">
        <w:t xml:space="preserve">nderung der Finanzierung) und </w:t>
      </w:r>
      <w:r w:rsidR="00104C92" w:rsidRPr="00D23AED">
        <w:rPr>
          <w:b/>
        </w:rPr>
        <w:t>Punkt 8.5</w:t>
      </w:r>
      <w:r w:rsidR="00104C92">
        <w:t xml:space="preserve"> (</w:t>
      </w:r>
      <w:r w:rsidR="001438B7">
        <w:t>Verzinsung</w:t>
      </w:r>
      <w:r w:rsidR="00104C92">
        <w:t>, alsbaldige Verwendung der Mittel</w:t>
      </w:r>
      <w:r w:rsidR="00D23AED">
        <w:t>).</w:t>
      </w:r>
      <w:r w:rsidR="001438B7">
        <w:t xml:space="preserve">  </w:t>
      </w:r>
      <w:r w:rsidR="00705BAC">
        <w:t xml:space="preserve"> </w:t>
      </w:r>
    </w:p>
    <w:p w:rsidR="00460DD1" w:rsidRDefault="00460DD1" w:rsidP="00705BAC">
      <w:pPr>
        <w:autoSpaceDE w:val="0"/>
        <w:autoSpaceDN w:val="0"/>
        <w:adjustRightInd w:val="0"/>
        <w:ind w:right="72"/>
      </w:pPr>
    </w:p>
    <w:p w:rsidR="007B5FA5" w:rsidRDefault="007B5FA5" w:rsidP="00705BAC">
      <w:pPr>
        <w:autoSpaceDE w:val="0"/>
        <w:autoSpaceDN w:val="0"/>
        <w:adjustRightInd w:val="0"/>
        <w:ind w:right="72"/>
      </w:pPr>
    </w:p>
    <w:p w:rsidR="00883A6F" w:rsidRDefault="00883A6F" w:rsidP="00705BAC">
      <w:pPr>
        <w:autoSpaceDE w:val="0"/>
        <w:autoSpaceDN w:val="0"/>
        <w:adjustRightInd w:val="0"/>
        <w:ind w:right="72"/>
      </w:pPr>
    </w:p>
    <w:p w:rsidR="005E0673" w:rsidRPr="00460DD1" w:rsidRDefault="005E0673" w:rsidP="00705BAC">
      <w:pPr>
        <w:autoSpaceDE w:val="0"/>
        <w:autoSpaceDN w:val="0"/>
        <w:adjustRightInd w:val="0"/>
        <w:ind w:right="72"/>
        <w:rPr>
          <w:b/>
          <w:sz w:val="24"/>
          <w:szCs w:val="24"/>
          <w:u w:val="single"/>
        </w:rPr>
      </w:pPr>
      <w:r w:rsidRPr="00460DD1">
        <w:rPr>
          <w:b/>
          <w:sz w:val="24"/>
          <w:szCs w:val="24"/>
          <w:u w:val="single"/>
        </w:rPr>
        <w:t>Ansprechpartner:</w:t>
      </w:r>
    </w:p>
    <w:p w:rsidR="005E0673" w:rsidRDefault="005E0673" w:rsidP="00705BAC">
      <w:pPr>
        <w:autoSpaceDE w:val="0"/>
        <w:autoSpaceDN w:val="0"/>
        <w:adjustRightInd w:val="0"/>
        <w:ind w:right="72"/>
        <w:rPr>
          <w:u w:val="single"/>
        </w:rPr>
      </w:pPr>
    </w:p>
    <w:p w:rsidR="005E0673" w:rsidRDefault="005E0673" w:rsidP="00705BAC">
      <w:pPr>
        <w:autoSpaceDE w:val="0"/>
        <w:autoSpaceDN w:val="0"/>
        <w:adjustRightInd w:val="0"/>
        <w:ind w:right="72"/>
      </w:pPr>
      <w:r>
        <w:t>Federführendes Amt</w:t>
      </w:r>
    </w:p>
    <w:p w:rsidR="005E0673" w:rsidRDefault="0093076D" w:rsidP="00705BAC">
      <w:pPr>
        <w:autoSpaceDE w:val="0"/>
        <w:autoSpaceDN w:val="0"/>
        <w:adjustRightInd w:val="0"/>
        <w:ind w:right="72"/>
      </w:pPr>
      <w:r>
        <w:t>Frau Baake</w:t>
      </w:r>
    </w:p>
    <w:p w:rsidR="005E0673" w:rsidRDefault="0036300C" w:rsidP="00705BAC">
      <w:pPr>
        <w:autoSpaceDE w:val="0"/>
        <w:autoSpaceDN w:val="0"/>
        <w:adjustRightInd w:val="0"/>
        <w:ind w:right="72"/>
      </w:pPr>
      <w:r>
        <w:t>Landratsamt</w:t>
      </w:r>
      <w:r w:rsidR="006D3375">
        <w:t>/</w:t>
      </w:r>
      <w:r w:rsidR="000E3F82">
        <w:t>Jugend- und Bildungsamt</w:t>
      </w:r>
    </w:p>
    <w:p w:rsidR="005E0673" w:rsidRPr="00E8305B" w:rsidRDefault="006D3375" w:rsidP="00705BAC">
      <w:pPr>
        <w:autoSpaceDE w:val="0"/>
        <w:autoSpaceDN w:val="0"/>
        <w:adjustRightInd w:val="0"/>
        <w:ind w:right="72"/>
        <w:rPr>
          <w:lang w:val="en-US"/>
        </w:rPr>
      </w:pPr>
      <w:r w:rsidRPr="00E8305B">
        <w:rPr>
          <w:lang w:val="en-US"/>
        </w:rPr>
        <w:t>Tel.: 03501 5154006</w:t>
      </w:r>
    </w:p>
    <w:p w:rsidR="005E0673" w:rsidRPr="00004C97" w:rsidRDefault="005E0673" w:rsidP="00705BAC">
      <w:pPr>
        <w:autoSpaceDE w:val="0"/>
        <w:autoSpaceDN w:val="0"/>
        <w:adjustRightInd w:val="0"/>
        <w:ind w:right="72"/>
        <w:rPr>
          <w:lang w:val="en-US"/>
        </w:rPr>
      </w:pPr>
      <w:r w:rsidRPr="005E0673">
        <w:rPr>
          <w:lang w:val="en-US"/>
        </w:rPr>
        <w:t xml:space="preserve">Mail: </w:t>
      </w:r>
      <w:hyperlink r:id="rId10" w:history="1">
        <w:r w:rsidR="0093076D" w:rsidRPr="005D307F">
          <w:rPr>
            <w:rStyle w:val="Hyperlink"/>
            <w:lang w:val="en-US"/>
          </w:rPr>
          <w:t>cindy.baake@landratsamt-pirna.de</w:t>
        </w:r>
      </w:hyperlink>
    </w:p>
    <w:p w:rsidR="005E0673" w:rsidRDefault="005E0673" w:rsidP="00705BAC">
      <w:pPr>
        <w:autoSpaceDE w:val="0"/>
        <w:autoSpaceDN w:val="0"/>
        <w:adjustRightInd w:val="0"/>
        <w:ind w:right="72"/>
        <w:rPr>
          <w:lang w:val="en-US"/>
        </w:rPr>
      </w:pPr>
    </w:p>
    <w:p w:rsidR="005E0673" w:rsidRDefault="005E0673" w:rsidP="00705BAC">
      <w:pPr>
        <w:autoSpaceDE w:val="0"/>
        <w:autoSpaceDN w:val="0"/>
        <w:adjustRightInd w:val="0"/>
        <w:ind w:right="72"/>
        <w:rPr>
          <w:lang w:val="en-US"/>
        </w:rPr>
      </w:pPr>
      <w:r>
        <w:rPr>
          <w:lang w:val="en-US"/>
        </w:rPr>
        <w:t>Koordinierungs</w:t>
      </w:r>
      <w:r w:rsidR="0036300C">
        <w:rPr>
          <w:lang w:val="en-US"/>
        </w:rPr>
        <w:t>- und Fach</w:t>
      </w:r>
      <w:r>
        <w:rPr>
          <w:lang w:val="en-US"/>
        </w:rPr>
        <w:t>stelle</w:t>
      </w:r>
    </w:p>
    <w:p w:rsidR="005E0673" w:rsidRDefault="005E0673" w:rsidP="00705BAC">
      <w:pPr>
        <w:autoSpaceDE w:val="0"/>
        <w:autoSpaceDN w:val="0"/>
        <w:adjustRightInd w:val="0"/>
        <w:ind w:right="72"/>
        <w:rPr>
          <w:lang w:val="en-US"/>
        </w:rPr>
      </w:pPr>
      <w:r>
        <w:rPr>
          <w:lang w:val="en-US"/>
        </w:rPr>
        <w:t>Herr Enke</w:t>
      </w:r>
    </w:p>
    <w:p w:rsidR="005E0673" w:rsidRDefault="005E0673" w:rsidP="00705BAC">
      <w:pPr>
        <w:autoSpaceDE w:val="0"/>
        <w:autoSpaceDN w:val="0"/>
        <w:adjustRightInd w:val="0"/>
        <w:ind w:right="72"/>
        <w:rPr>
          <w:lang w:val="en-US"/>
        </w:rPr>
      </w:pPr>
      <w:r>
        <w:rPr>
          <w:lang w:val="en-US"/>
        </w:rPr>
        <w:t>Stadtverwaltung Pirna</w:t>
      </w:r>
    </w:p>
    <w:p w:rsidR="00883A6F" w:rsidRDefault="00883A6F" w:rsidP="00705BAC">
      <w:pPr>
        <w:autoSpaceDE w:val="0"/>
        <w:autoSpaceDN w:val="0"/>
        <w:adjustRightInd w:val="0"/>
        <w:ind w:right="72"/>
        <w:rPr>
          <w:lang w:val="en-US"/>
        </w:rPr>
      </w:pPr>
      <w:r>
        <w:rPr>
          <w:lang w:val="en-US"/>
        </w:rPr>
        <w:t>Tel.: 03501 556213</w:t>
      </w:r>
    </w:p>
    <w:p w:rsidR="00883A6F" w:rsidRDefault="00883A6F" w:rsidP="00705BAC">
      <w:pPr>
        <w:autoSpaceDE w:val="0"/>
        <w:autoSpaceDN w:val="0"/>
        <w:adjustRightInd w:val="0"/>
        <w:ind w:right="72"/>
        <w:rPr>
          <w:lang w:val="en-US"/>
        </w:rPr>
      </w:pPr>
      <w:r>
        <w:rPr>
          <w:lang w:val="en-US"/>
        </w:rPr>
        <w:t xml:space="preserve">Mail: </w:t>
      </w:r>
      <w:hyperlink r:id="rId11" w:history="1">
        <w:r w:rsidR="0093076D" w:rsidRPr="005D307F">
          <w:rPr>
            <w:rStyle w:val="Hyperlink"/>
            <w:lang w:val="en-US"/>
          </w:rPr>
          <w:t>johannes.enke@pirna.de</w:t>
        </w:r>
      </w:hyperlink>
    </w:p>
    <w:p w:rsidR="00883A6F" w:rsidRDefault="00883A6F" w:rsidP="00705BAC">
      <w:pPr>
        <w:autoSpaceDE w:val="0"/>
        <w:autoSpaceDN w:val="0"/>
        <w:adjustRightInd w:val="0"/>
        <w:ind w:right="72"/>
        <w:rPr>
          <w:lang w:val="en-US"/>
        </w:rPr>
      </w:pPr>
    </w:p>
    <w:p w:rsidR="00883A6F" w:rsidRDefault="00883A6F" w:rsidP="00705BAC">
      <w:pPr>
        <w:autoSpaceDE w:val="0"/>
        <w:autoSpaceDN w:val="0"/>
        <w:adjustRightInd w:val="0"/>
        <w:ind w:right="72"/>
        <w:rPr>
          <w:lang w:val="en-US"/>
        </w:rPr>
      </w:pPr>
    </w:p>
    <w:p w:rsidR="00883A6F" w:rsidRDefault="00883A6F" w:rsidP="00705BAC">
      <w:pPr>
        <w:autoSpaceDE w:val="0"/>
        <w:autoSpaceDN w:val="0"/>
        <w:adjustRightInd w:val="0"/>
        <w:ind w:right="72"/>
        <w:rPr>
          <w:lang w:val="en-US"/>
        </w:rPr>
      </w:pPr>
    </w:p>
    <w:p w:rsidR="00883A6F" w:rsidRDefault="00883A6F" w:rsidP="00705BAC">
      <w:pPr>
        <w:autoSpaceDE w:val="0"/>
        <w:autoSpaceDN w:val="0"/>
        <w:adjustRightInd w:val="0"/>
        <w:ind w:right="72"/>
      </w:pPr>
      <w:r w:rsidRPr="00883A6F">
        <w:t>Weitere Informationen zu den “Partnerschaften für Demokratie”</w:t>
      </w:r>
      <w:r>
        <w:t xml:space="preserve"> unter</w:t>
      </w:r>
    </w:p>
    <w:p w:rsidR="00883A6F" w:rsidRDefault="00883A6F" w:rsidP="00705BAC">
      <w:pPr>
        <w:autoSpaceDE w:val="0"/>
        <w:autoSpaceDN w:val="0"/>
        <w:adjustRightInd w:val="0"/>
        <w:ind w:right="72"/>
      </w:pPr>
      <w:hyperlink r:id="rId12" w:history="1">
        <w:r w:rsidRPr="007C0912">
          <w:rPr>
            <w:rStyle w:val="Hyperlink"/>
          </w:rPr>
          <w:t>www.vielfalt-soe.de</w:t>
        </w:r>
      </w:hyperlink>
    </w:p>
    <w:p w:rsidR="00883A6F" w:rsidRDefault="00883A6F" w:rsidP="00705BAC">
      <w:pPr>
        <w:autoSpaceDE w:val="0"/>
        <w:autoSpaceDN w:val="0"/>
        <w:adjustRightInd w:val="0"/>
        <w:ind w:right="72"/>
      </w:pPr>
      <w:hyperlink r:id="rId13" w:history="1">
        <w:r w:rsidRPr="007C0912">
          <w:rPr>
            <w:rStyle w:val="Hyperlink"/>
          </w:rPr>
          <w:t>www.demokratie-leben.de</w:t>
        </w:r>
      </w:hyperlink>
    </w:p>
    <w:p w:rsidR="00883A6F" w:rsidRPr="00883A6F" w:rsidRDefault="00883A6F" w:rsidP="00705BAC">
      <w:pPr>
        <w:autoSpaceDE w:val="0"/>
        <w:autoSpaceDN w:val="0"/>
        <w:adjustRightInd w:val="0"/>
        <w:ind w:right="72"/>
        <w:rPr>
          <w:rFonts w:cs="Arial"/>
          <w:color w:val="000000"/>
        </w:rPr>
      </w:pPr>
    </w:p>
    <w:sectPr w:rsidR="00883A6F" w:rsidRPr="00883A6F">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80" w:rsidRDefault="00062580" w:rsidP="0093076D">
      <w:r>
        <w:separator/>
      </w:r>
    </w:p>
  </w:endnote>
  <w:endnote w:type="continuationSeparator" w:id="0">
    <w:p w:rsidR="00062580" w:rsidRDefault="00062580" w:rsidP="0093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3C" w:rsidRDefault="00891E3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937AE5">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37AE5">
      <w:rPr>
        <w:b/>
        <w:bCs/>
        <w:noProof/>
      </w:rPr>
      <w:t>4</w:t>
    </w:r>
    <w:r>
      <w:rPr>
        <w:b/>
        <w:bCs/>
        <w:sz w:val="24"/>
        <w:szCs w:val="24"/>
      </w:rPr>
      <w:fldChar w:fldCharType="end"/>
    </w:r>
  </w:p>
  <w:p w:rsidR="00891E3C" w:rsidRDefault="00891E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80" w:rsidRDefault="00062580" w:rsidP="0093076D">
      <w:r>
        <w:separator/>
      </w:r>
    </w:p>
  </w:footnote>
  <w:footnote w:type="continuationSeparator" w:id="0">
    <w:p w:rsidR="00062580" w:rsidRDefault="00062580" w:rsidP="00930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3CABD"/>
    <w:multiLevelType w:val="hybridMultilevel"/>
    <w:tmpl w:val="C94B5E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069DFF"/>
    <w:multiLevelType w:val="hybridMultilevel"/>
    <w:tmpl w:val="89A19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493591"/>
    <w:multiLevelType w:val="hybridMultilevel"/>
    <w:tmpl w:val="B60EDD50"/>
    <w:lvl w:ilvl="0" w:tplc="C8F03ABC">
      <w:numFmt w:val="bullet"/>
      <w:lvlText w:val="-"/>
      <w:lvlJc w:val="left"/>
      <w:pPr>
        <w:ind w:left="1080" w:hanging="360"/>
      </w:pPr>
      <w:rPr>
        <w:rFonts w:ascii="Arial" w:eastAsia="Times New Roman" w:hAnsi="Arial" w:cs="Arial" w:hint="default"/>
        <w:color w:val="0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F507317"/>
    <w:multiLevelType w:val="hybridMultilevel"/>
    <w:tmpl w:val="5A4C9B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0E768FC"/>
    <w:multiLevelType w:val="hybridMultilevel"/>
    <w:tmpl w:val="7064048C"/>
    <w:lvl w:ilvl="0" w:tplc="509608C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065164"/>
    <w:multiLevelType w:val="hybridMultilevel"/>
    <w:tmpl w:val="0E841B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82CBFDF"/>
    <w:multiLevelType w:val="hybridMultilevel"/>
    <w:tmpl w:val="FC80A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7D1ECA"/>
    <w:multiLevelType w:val="hybridMultilevel"/>
    <w:tmpl w:val="C256E1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0D458C4"/>
    <w:multiLevelType w:val="hybridMultilevel"/>
    <w:tmpl w:val="8C8413CA"/>
    <w:lvl w:ilvl="0" w:tplc="3112D3D4">
      <w:start w:val="1"/>
      <w:numFmt w:val="bullet"/>
      <w:lvlText w:val=""/>
      <w:lvlJc w:val="left"/>
      <w:pPr>
        <w:tabs>
          <w:tab w:val="num" w:pos="720"/>
        </w:tabs>
        <w:ind w:left="72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E13789E"/>
    <w:multiLevelType w:val="hybridMultilevel"/>
    <w:tmpl w:val="0B4A94CE"/>
    <w:lvl w:ilvl="0" w:tplc="0407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666447B"/>
    <w:multiLevelType w:val="hybridMultilevel"/>
    <w:tmpl w:val="8AF0B1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F1606FE"/>
    <w:multiLevelType w:val="hybridMultilevel"/>
    <w:tmpl w:val="C8BA0B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31D0CDE"/>
    <w:multiLevelType w:val="hybridMultilevel"/>
    <w:tmpl w:val="043A5F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132655C"/>
    <w:multiLevelType w:val="hybridMultilevel"/>
    <w:tmpl w:val="54AE1CF2"/>
    <w:lvl w:ilvl="0" w:tplc="628AB02E">
      <w:start w:val="3"/>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4">
    <w:nsid w:val="721A2CC7"/>
    <w:multiLevelType w:val="hybridMultilevel"/>
    <w:tmpl w:val="7FFEBA3E"/>
    <w:lvl w:ilvl="0" w:tplc="3112D3D4">
      <w:start w:val="1"/>
      <w:numFmt w:val="bullet"/>
      <w:lvlText w:val=""/>
      <w:lvlJc w:val="left"/>
      <w:pPr>
        <w:tabs>
          <w:tab w:val="num" w:pos="720"/>
        </w:tabs>
        <w:ind w:left="72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6340C0E"/>
    <w:multiLevelType w:val="hybridMultilevel"/>
    <w:tmpl w:val="910020DE"/>
    <w:lvl w:ilvl="0" w:tplc="8D5694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A16288"/>
    <w:multiLevelType w:val="hybridMultilevel"/>
    <w:tmpl w:val="E4BC81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5"/>
  </w:num>
  <w:num w:numId="6">
    <w:abstractNumId w:val="3"/>
  </w:num>
  <w:num w:numId="7">
    <w:abstractNumId w:val="16"/>
  </w:num>
  <w:num w:numId="8">
    <w:abstractNumId w:val="12"/>
  </w:num>
  <w:num w:numId="9">
    <w:abstractNumId w:val="1"/>
  </w:num>
  <w:num w:numId="10">
    <w:abstractNumId w:val="10"/>
  </w:num>
  <w:num w:numId="11">
    <w:abstractNumId w:val="7"/>
  </w:num>
  <w:num w:numId="12">
    <w:abstractNumId w:val="14"/>
  </w:num>
  <w:num w:numId="13">
    <w:abstractNumId w:val="8"/>
  </w:num>
  <w:num w:numId="14">
    <w:abstractNumId w:val="13"/>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9D"/>
    <w:rsid w:val="00004C97"/>
    <w:rsid w:val="00004CEE"/>
    <w:rsid w:val="000623E5"/>
    <w:rsid w:val="00062580"/>
    <w:rsid w:val="000B0C37"/>
    <w:rsid w:val="000E223D"/>
    <w:rsid w:val="000E3F82"/>
    <w:rsid w:val="00104C92"/>
    <w:rsid w:val="00107FE0"/>
    <w:rsid w:val="0013707C"/>
    <w:rsid w:val="00142BD8"/>
    <w:rsid w:val="001438B7"/>
    <w:rsid w:val="00182EE0"/>
    <w:rsid w:val="00186859"/>
    <w:rsid w:val="001B5058"/>
    <w:rsid w:val="001C0D90"/>
    <w:rsid w:val="001C338C"/>
    <w:rsid w:val="00217953"/>
    <w:rsid w:val="002346AF"/>
    <w:rsid w:val="00283960"/>
    <w:rsid w:val="00283FBC"/>
    <w:rsid w:val="00295807"/>
    <w:rsid w:val="002967DD"/>
    <w:rsid w:val="002B15B6"/>
    <w:rsid w:val="00337F10"/>
    <w:rsid w:val="0036300C"/>
    <w:rsid w:val="00411BBC"/>
    <w:rsid w:val="00460DD1"/>
    <w:rsid w:val="004B2F16"/>
    <w:rsid w:val="004B5587"/>
    <w:rsid w:val="004D2773"/>
    <w:rsid w:val="00506C4A"/>
    <w:rsid w:val="00551568"/>
    <w:rsid w:val="005A2A39"/>
    <w:rsid w:val="005E0673"/>
    <w:rsid w:val="00635740"/>
    <w:rsid w:val="006728DF"/>
    <w:rsid w:val="00672A6E"/>
    <w:rsid w:val="0069565A"/>
    <w:rsid w:val="006A5F89"/>
    <w:rsid w:val="006D0D48"/>
    <w:rsid w:val="006D3375"/>
    <w:rsid w:val="006D45EA"/>
    <w:rsid w:val="00705BAC"/>
    <w:rsid w:val="007219F0"/>
    <w:rsid w:val="0074788E"/>
    <w:rsid w:val="00762E18"/>
    <w:rsid w:val="007B5FA5"/>
    <w:rsid w:val="00883A6F"/>
    <w:rsid w:val="00891E3C"/>
    <w:rsid w:val="008A4CF9"/>
    <w:rsid w:val="008B7C2C"/>
    <w:rsid w:val="008E3F9D"/>
    <w:rsid w:val="009078D5"/>
    <w:rsid w:val="0093076D"/>
    <w:rsid w:val="00931159"/>
    <w:rsid w:val="00937AE5"/>
    <w:rsid w:val="009C13DD"/>
    <w:rsid w:val="009C160A"/>
    <w:rsid w:val="00A1024B"/>
    <w:rsid w:val="00B22F51"/>
    <w:rsid w:val="00B3277E"/>
    <w:rsid w:val="00B360EC"/>
    <w:rsid w:val="00BA045B"/>
    <w:rsid w:val="00C10FDC"/>
    <w:rsid w:val="00C25DBD"/>
    <w:rsid w:val="00C43BE6"/>
    <w:rsid w:val="00C97A6E"/>
    <w:rsid w:val="00D23AED"/>
    <w:rsid w:val="00D41EF8"/>
    <w:rsid w:val="00DA7C48"/>
    <w:rsid w:val="00E55422"/>
    <w:rsid w:val="00E635E2"/>
    <w:rsid w:val="00E64E18"/>
    <w:rsid w:val="00E72F90"/>
    <w:rsid w:val="00E8305B"/>
    <w:rsid w:val="00EB770F"/>
    <w:rsid w:val="00F74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A1024B"/>
    <w:pPr>
      <w:autoSpaceDE w:val="0"/>
      <w:autoSpaceDN w:val="0"/>
      <w:adjustRightInd w:val="0"/>
    </w:pPr>
    <w:rPr>
      <w:rFonts w:ascii="Arial" w:hAnsi="Arial" w:cs="Arial"/>
      <w:color w:val="000000"/>
      <w:sz w:val="24"/>
      <w:szCs w:val="24"/>
    </w:rPr>
  </w:style>
  <w:style w:type="character" w:styleId="Hyperlink">
    <w:name w:val="Hyperlink"/>
    <w:uiPriority w:val="99"/>
    <w:unhideWhenUsed/>
    <w:rsid w:val="005E0673"/>
    <w:rPr>
      <w:color w:val="0000FF"/>
      <w:u w:val="single"/>
    </w:rPr>
  </w:style>
  <w:style w:type="paragraph" w:styleId="Kopfzeile">
    <w:name w:val="header"/>
    <w:basedOn w:val="Standard"/>
    <w:link w:val="KopfzeileZchn"/>
    <w:uiPriority w:val="99"/>
    <w:unhideWhenUsed/>
    <w:rsid w:val="0093076D"/>
    <w:pPr>
      <w:tabs>
        <w:tab w:val="center" w:pos="4536"/>
        <w:tab w:val="right" w:pos="9072"/>
      </w:tabs>
    </w:pPr>
  </w:style>
  <w:style w:type="character" w:customStyle="1" w:styleId="KopfzeileZchn">
    <w:name w:val="Kopfzeile Zchn"/>
    <w:link w:val="Kopfzeile"/>
    <w:uiPriority w:val="99"/>
    <w:rsid w:val="0093076D"/>
    <w:rPr>
      <w:rFonts w:ascii="Arial" w:hAnsi="Arial"/>
      <w:sz w:val="22"/>
      <w:szCs w:val="22"/>
    </w:rPr>
  </w:style>
  <w:style w:type="paragraph" w:styleId="Fuzeile">
    <w:name w:val="footer"/>
    <w:basedOn w:val="Standard"/>
    <w:link w:val="FuzeileZchn"/>
    <w:uiPriority w:val="99"/>
    <w:unhideWhenUsed/>
    <w:rsid w:val="0093076D"/>
    <w:pPr>
      <w:tabs>
        <w:tab w:val="center" w:pos="4536"/>
        <w:tab w:val="right" w:pos="9072"/>
      </w:tabs>
    </w:pPr>
  </w:style>
  <w:style w:type="character" w:customStyle="1" w:styleId="FuzeileZchn">
    <w:name w:val="Fußzeile Zchn"/>
    <w:link w:val="Fuzeile"/>
    <w:uiPriority w:val="99"/>
    <w:rsid w:val="0093076D"/>
    <w:rPr>
      <w:rFonts w:ascii="Arial" w:hAnsi="Arial"/>
      <w:sz w:val="22"/>
      <w:szCs w:val="22"/>
    </w:rPr>
  </w:style>
  <w:style w:type="paragraph" w:styleId="Sprechblasentext">
    <w:name w:val="Balloon Text"/>
    <w:basedOn w:val="Standard"/>
    <w:link w:val="SprechblasentextZchn"/>
    <w:uiPriority w:val="99"/>
    <w:semiHidden/>
    <w:unhideWhenUsed/>
    <w:rsid w:val="00E8305B"/>
    <w:rPr>
      <w:rFonts w:ascii="Tahoma" w:hAnsi="Tahoma" w:cs="Tahoma"/>
      <w:sz w:val="16"/>
      <w:szCs w:val="16"/>
    </w:rPr>
  </w:style>
  <w:style w:type="character" w:customStyle="1" w:styleId="SprechblasentextZchn">
    <w:name w:val="Sprechblasentext Zchn"/>
    <w:link w:val="Sprechblasentext"/>
    <w:uiPriority w:val="99"/>
    <w:semiHidden/>
    <w:rsid w:val="00E83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A1024B"/>
    <w:pPr>
      <w:autoSpaceDE w:val="0"/>
      <w:autoSpaceDN w:val="0"/>
      <w:adjustRightInd w:val="0"/>
    </w:pPr>
    <w:rPr>
      <w:rFonts w:ascii="Arial" w:hAnsi="Arial" w:cs="Arial"/>
      <w:color w:val="000000"/>
      <w:sz w:val="24"/>
      <w:szCs w:val="24"/>
    </w:rPr>
  </w:style>
  <w:style w:type="character" w:styleId="Hyperlink">
    <w:name w:val="Hyperlink"/>
    <w:uiPriority w:val="99"/>
    <w:unhideWhenUsed/>
    <w:rsid w:val="005E0673"/>
    <w:rPr>
      <w:color w:val="0000FF"/>
      <w:u w:val="single"/>
    </w:rPr>
  </w:style>
  <w:style w:type="paragraph" w:styleId="Kopfzeile">
    <w:name w:val="header"/>
    <w:basedOn w:val="Standard"/>
    <w:link w:val="KopfzeileZchn"/>
    <w:uiPriority w:val="99"/>
    <w:unhideWhenUsed/>
    <w:rsid w:val="0093076D"/>
    <w:pPr>
      <w:tabs>
        <w:tab w:val="center" w:pos="4536"/>
        <w:tab w:val="right" w:pos="9072"/>
      </w:tabs>
    </w:pPr>
  </w:style>
  <w:style w:type="character" w:customStyle="1" w:styleId="KopfzeileZchn">
    <w:name w:val="Kopfzeile Zchn"/>
    <w:link w:val="Kopfzeile"/>
    <w:uiPriority w:val="99"/>
    <w:rsid w:val="0093076D"/>
    <w:rPr>
      <w:rFonts w:ascii="Arial" w:hAnsi="Arial"/>
      <w:sz w:val="22"/>
      <w:szCs w:val="22"/>
    </w:rPr>
  </w:style>
  <w:style w:type="paragraph" w:styleId="Fuzeile">
    <w:name w:val="footer"/>
    <w:basedOn w:val="Standard"/>
    <w:link w:val="FuzeileZchn"/>
    <w:uiPriority w:val="99"/>
    <w:unhideWhenUsed/>
    <w:rsid w:val="0093076D"/>
    <w:pPr>
      <w:tabs>
        <w:tab w:val="center" w:pos="4536"/>
        <w:tab w:val="right" w:pos="9072"/>
      </w:tabs>
    </w:pPr>
  </w:style>
  <w:style w:type="character" w:customStyle="1" w:styleId="FuzeileZchn">
    <w:name w:val="Fußzeile Zchn"/>
    <w:link w:val="Fuzeile"/>
    <w:uiPriority w:val="99"/>
    <w:rsid w:val="0093076D"/>
    <w:rPr>
      <w:rFonts w:ascii="Arial" w:hAnsi="Arial"/>
      <w:sz w:val="22"/>
      <w:szCs w:val="22"/>
    </w:rPr>
  </w:style>
  <w:style w:type="paragraph" w:styleId="Sprechblasentext">
    <w:name w:val="Balloon Text"/>
    <w:basedOn w:val="Standard"/>
    <w:link w:val="SprechblasentextZchn"/>
    <w:uiPriority w:val="99"/>
    <w:semiHidden/>
    <w:unhideWhenUsed/>
    <w:rsid w:val="00E8305B"/>
    <w:rPr>
      <w:rFonts w:ascii="Tahoma" w:hAnsi="Tahoma" w:cs="Tahoma"/>
      <w:sz w:val="16"/>
      <w:szCs w:val="16"/>
    </w:rPr>
  </w:style>
  <w:style w:type="character" w:customStyle="1" w:styleId="SprechblasentextZchn">
    <w:name w:val="Sprechblasentext Zchn"/>
    <w:link w:val="Sprechblasentext"/>
    <w:uiPriority w:val="99"/>
    <w:semiHidden/>
    <w:rsid w:val="00E8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mokratie-leb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elfalt-so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annes.enke@pirn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indy.baake@landratsamt-pirn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5EC6-A850-4555-8571-A7937529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Hinweise zu Förderfähigkeit von Ausgaben</vt:lpstr>
    </vt:vector>
  </TitlesOfParts>
  <Company>LRA</Company>
  <LinksUpToDate>false</LinksUpToDate>
  <CharactersWithSpaces>9003</CharactersWithSpaces>
  <SharedDoc>false</SharedDoc>
  <HLinks>
    <vt:vector size="24" baseType="variant">
      <vt:variant>
        <vt:i4>2555965</vt:i4>
      </vt:variant>
      <vt:variant>
        <vt:i4>9</vt:i4>
      </vt:variant>
      <vt:variant>
        <vt:i4>0</vt:i4>
      </vt:variant>
      <vt:variant>
        <vt:i4>5</vt:i4>
      </vt:variant>
      <vt:variant>
        <vt:lpwstr>http://www.demokratie-leben.de/</vt:lpwstr>
      </vt:variant>
      <vt:variant>
        <vt:lpwstr/>
      </vt:variant>
      <vt:variant>
        <vt:i4>3866674</vt:i4>
      </vt:variant>
      <vt:variant>
        <vt:i4>6</vt:i4>
      </vt:variant>
      <vt:variant>
        <vt:i4>0</vt:i4>
      </vt:variant>
      <vt:variant>
        <vt:i4>5</vt:i4>
      </vt:variant>
      <vt:variant>
        <vt:lpwstr>http://www.vielfalt-soe.de/</vt:lpwstr>
      </vt:variant>
      <vt:variant>
        <vt:lpwstr/>
      </vt:variant>
      <vt:variant>
        <vt:i4>4784190</vt:i4>
      </vt:variant>
      <vt:variant>
        <vt:i4>3</vt:i4>
      </vt:variant>
      <vt:variant>
        <vt:i4>0</vt:i4>
      </vt:variant>
      <vt:variant>
        <vt:i4>5</vt:i4>
      </vt:variant>
      <vt:variant>
        <vt:lpwstr>mailto:johannes.enke@pirna.de</vt:lpwstr>
      </vt:variant>
      <vt:variant>
        <vt:lpwstr/>
      </vt:variant>
      <vt:variant>
        <vt:i4>6684765</vt:i4>
      </vt:variant>
      <vt:variant>
        <vt:i4>0</vt:i4>
      </vt:variant>
      <vt:variant>
        <vt:i4>0</vt:i4>
      </vt:variant>
      <vt:variant>
        <vt:i4>5</vt:i4>
      </vt:variant>
      <vt:variant>
        <vt:lpwstr>mailto:cindy.baake@landratsamt-pirna.de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 Förderfähigkeit von Ausgaben</dc:title>
  <dc:creator>Rossberg</dc:creator>
  <cp:lastModifiedBy>Baake, Cindy</cp:lastModifiedBy>
  <cp:revision>2</cp:revision>
  <cp:lastPrinted>2018-07-31T08:28:00Z</cp:lastPrinted>
  <dcterms:created xsi:type="dcterms:W3CDTF">2019-03-07T10:00:00Z</dcterms:created>
  <dcterms:modified xsi:type="dcterms:W3CDTF">2019-03-07T10:00:00Z</dcterms:modified>
</cp:coreProperties>
</file>